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7D574" w14:textId="77777777" w:rsidR="00214F15" w:rsidRPr="006A5877" w:rsidRDefault="00A82145">
      <w:pPr>
        <w:shd w:val="clear" w:color="auto" w:fill="FFFFFF"/>
        <w:jc w:val="center"/>
        <w:rPr>
          <w:rFonts w:ascii="Verdana" w:hAnsi="Verdana"/>
          <w:b/>
          <w:color w:val="92D050"/>
          <w:sz w:val="36"/>
          <w:szCs w:val="36"/>
          <w:lang w:val="es-ES"/>
        </w:rPr>
      </w:pPr>
      <w:bookmarkStart w:id="0" w:name="_GoBack"/>
      <w:bookmarkEnd w:id="0"/>
      <w:r w:rsidRPr="006A5877">
        <w:rPr>
          <w:rFonts w:ascii="Verdana" w:hAnsi="Verdana"/>
          <w:b/>
          <w:color w:val="92D050"/>
          <w:sz w:val="36"/>
          <w:szCs w:val="36"/>
          <w:lang w:val="es-ES"/>
        </w:rPr>
        <w:t>QUÉ SE DEBE HACER</w:t>
      </w:r>
    </w:p>
    <w:p w14:paraId="16F7D575" w14:textId="77777777" w:rsidR="00214F15" w:rsidRDefault="00A82145">
      <w:pPr>
        <w:rPr>
          <w:rFonts w:ascii="Verdana" w:hAnsi="Verdana"/>
          <w:color w:val="92D050"/>
          <w:sz w:val="18"/>
          <w:szCs w:val="18"/>
        </w:rPr>
      </w:pPr>
      <w:r>
        <w:rPr>
          <w:rFonts w:ascii="Verdana" w:hAnsi="Verdana"/>
          <w:color w:val="92D050"/>
          <w:sz w:val="18"/>
          <w:szCs w:val="18"/>
        </w:rPr>
        <w:t xml:space="preserve">CUMPLIR LOS </w:t>
      </w:r>
      <w:r>
        <w:rPr>
          <w:rFonts w:ascii="Verdana" w:hAnsi="Verdana"/>
          <w:b/>
          <w:color w:val="00B050"/>
          <w:sz w:val="18"/>
          <w:szCs w:val="18"/>
        </w:rPr>
        <w:t>4 PRINCIPIOS BÁSICOS</w:t>
      </w:r>
      <w:r>
        <w:rPr>
          <w:rFonts w:ascii="Verdana" w:hAnsi="Verdana"/>
          <w:color w:val="92D050"/>
          <w:sz w:val="18"/>
          <w:szCs w:val="18"/>
        </w:rPr>
        <w:t xml:space="preserve"> DEL CÓDIGO DEONTOLÓGICO DE COCIR: </w:t>
      </w:r>
    </w:p>
    <w:p w14:paraId="16F7D576" w14:textId="77777777" w:rsidR="00214F15" w:rsidRDefault="00A82145">
      <w:pPr>
        <w:spacing w:after="0" w:line="252" w:lineRule="auto"/>
        <w:rPr>
          <w:rFonts w:ascii="Verdana" w:hAnsi="Verdana"/>
          <w:color w:val="92D050"/>
          <w:sz w:val="18"/>
          <w:szCs w:val="18"/>
        </w:rPr>
      </w:pPr>
      <w:r>
        <w:rPr>
          <w:rFonts w:ascii="Verdana" w:hAnsi="Verdana"/>
          <w:b/>
          <w:color w:val="00B050"/>
          <w:sz w:val="18"/>
          <w:szCs w:val="18"/>
        </w:rPr>
        <w:t>SEPARACIÓN</w:t>
      </w:r>
      <w:r>
        <w:rPr>
          <w:rFonts w:ascii="Verdana" w:hAnsi="Verdana"/>
          <w:color w:val="00B050"/>
          <w:sz w:val="18"/>
          <w:szCs w:val="18"/>
        </w:rPr>
        <w:t xml:space="preserve"> </w:t>
      </w:r>
      <w:r>
        <w:rPr>
          <w:rFonts w:ascii="Verdana" w:hAnsi="Verdana"/>
          <w:color w:val="92D050"/>
          <w:sz w:val="18"/>
          <w:szCs w:val="18"/>
        </w:rPr>
        <w:t xml:space="preserve">ENTRE BENEFICIOS Y TOMA DE DECISIONES </w:t>
      </w:r>
    </w:p>
    <w:p w14:paraId="16F7D577" w14:textId="77777777" w:rsidR="00214F15" w:rsidRDefault="00A82145">
      <w:pPr>
        <w:spacing w:after="0" w:line="252" w:lineRule="auto"/>
        <w:rPr>
          <w:rFonts w:ascii="Verdana" w:hAnsi="Verdana"/>
          <w:color w:val="92D050"/>
          <w:sz w:val="18"/>
          <w:szCs w:val="18"/>
        </w:rPr>
      </w:pPr>
      <w:r>
        <w:rPr>
          <w:rFonts w:ascii="Verdana" w:hAnsi="Verdana"/>
          <w:b/>
          <w:color w:val="00B050"/>
          <w:sz w:val="18"/>
          <w:szCs w:val="18"/>
        </w:rPr>
        <w:t>PROPORCIONALIDAD</w:t>
      </w:r>
      <w:r>
        <w:rPr>
          <w:rFonts w:ascii="Verdana" w:hAnsi="Verdana"/>
          <w:color w:val="92D050"/>
          <w:sz w:val="18"/>
          <w:szCs w:val="18"/>
        </w:rPr>
        <w:t xml:space="preserve"> DE LA REMUNERACIÓN DE LOS SERVICIOS PRESTADOS  </w:t>
      </w:r>
    </w:p>
    <w:p w14:paraId="16F7D578" w14:textId="77777777" w:rsidR="00214F15" w:rsidRDefault="00A82145">
      <w:pPr>
        <w:spacing w:after="0" w:line="252" w:lineRule="auto"/>
        <w:rPr>
          <w:rFonts w:ascii="Verdana" w:hAnsi="Verdana"/>
          <w:color w:val="92D050"/>
          <w:sz w:val="18"/>
          <w:szCs w:val="18"/>
        </w:rPr>
      </w:pPr>
      <w:r>
        <w:rPr>
          <w:rFonts w:ascii="Verdana" w:hAnsi="Verdana"/>
          <w:b/>
          <w:color w:val="00B050"/>
          <w:sz w:val="18"/>
          <w:szCs w:val="18"/>
        </w:rPr>
        <w:t>TRANSPARENCIA</w:t>
      </w:r>
      <w:r>
        <w:rPr>
          <w:rFonts w:ascii="Verdana" w:hAnsi="Verdana"/>
          <w:b/>
          <w:color w:val="92D050"/>
          <w:sz w:val="18"/>
          <w:szCs w:val="18"/>
        </w:rPr>
        <w:t xml:space="preserve"> </w:t>
      </w:r>
      <w:r>
        <w:rPr>
          <w:rFonts w:ascii="Verdana" w:hAnsi="Verdana"/>
          <w:color w:val="92D050"/>
          <w:sz w:val="18"/>
          <w:szCs w:val="18"/>
        </w:rPr>
        <w:t>EN LA GESTIÓN DE LOS PROFESIONALES SANITARIOS</w:t>
      </w:r>
    </w:p>
    <w:p w14:paraId="16F7D57A" w14:textId="23741684" w:rsidR="00214F15" w:rsidRPr="00DE2987" w:rsidRDefault="00A82145">
      <w:pPr>
        <w:spacing w:after="0" w:line="25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B050"/>
          <w:sz w:val="18"/>
          <w:szCs w:val="18"/>
        </w:rPr>
        <w:t>DOCUMENTACIÓN</w:t>
      </w:r>
      <w:r>
        <w:rPr>
          <w:rFonts w:ascii="Verdana" w:hAnsi="Verdana"/>
          <w:b/>
          <w:color w:val="92D050"/>
          <w:sz w:val="18"/>
          <w:szCs w:val="18"/>
        </w:rPr>
        <w:t xml:space="preserve"> </w:t>
      </w:r>
      <w:r>
        <w:rPr>
          <w:rFonts w:ascii="Verdana" w:hAnsi="Verdana"/>
          <w:color w:val="92D050"/>
          <w:sz w:val="18"/>
          <w:szCs w:val="18"/>
        </w:rPr>
        <w:t>DE LOS BENEFICIOS OTORGADOS</w:t>
      </w:r>
      <w:r>
        <w:rPr>
          <w:rFonts w:ascii="Verdana" w:hAnsi="Verdana"/>
          <w:sz w:val="18"/>
          <w:szCs w:val="18"/>
        </w:rPr>
        <w:t xml:space="preserve"> </w:t>
      </w:r>
    </w:p>
    <w:p w14:paraId="16F7D57B" w14:textId="77777777" w:rsidR="00214F15" w:rsidRDefault="00214F15">
      <w:pPr>
        <w:spacing w:after="0" w:line="252" w:lineRule="auto"/>
        <w:rPr>
          <w:rFonts w:ascii="Verdana" w:hAnsi="Verdana"/>
          <w:b/>
          <w:sz w:val="18"/>
          <w:szCs w:val="18"/>
        </w:rPr>
      </w:pPr>
    </w:p>
    <w:tbl>
      <w:tblPr>
        <w:tblW w:w="8954" w:type="dxa"/>
        <w:tblInd w:w="108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4531"/>
      </w:tblGrid>
      <w:tr w:rsidR="00214F15" w14:paraId="16F7D57E" w14:textId="77777777" w:rsidTr="002E2413">
        <w:trPr>
          <w:trHeight w:val="511"/>
        </w:trPr>
        <w:tc>
          <w:tcPr>
            <w:tcW w:w="4423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7C" w14:textId="77777777" w:rsidR="00214F15" w:rsidRPr="00791DFB" w:rsidRDefault="00A82145" w:rsidP="00791DF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</w:pP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 xml:space="preserve">REUNIONES, </w:t>
            </w:r>
            <w:r w:rsidRPr="00791DFB">
              <w:rPr>
                <w:rStyle w:val="Titre1Car"/>
              </w:rPr>
              <w:t>HOSPITALIDAD</w:t>
            </w: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 xml:space="preserve"> Y CONFERENCIAS</w:t>
            </w: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7D" w14:textId="77777777" w:rsidR="00214F15" w:rsidRPr="00791DFB" w:rsidRDefault="00A82145" w:rsidP="00791DF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</w:pP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>CONTRATACIÓN PÚBLICA</w:t>
            </w:r>
          </w:p>
        </w:tc>
      </w:tr>
      <w:tr w:rsidR="00214F15" w14:paraId="16F7D581" w14:textId="77777777" w:rsidTr="00EC4711">
        <w:trPr>
          <w:trHeight w:val="680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7F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Garantizar un motivo legítimo para celebrar la reunión y la idoneidad de la ubicación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0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Permitir que las autoridades contratantes redacten especificaciones técnicas abiertas y objetivas sin interferir en el proceso</w:t>
            </w:r>
          </w:p>
        </w:tc>
      </w:tr>
      <w:tr w:rsidR="00214F15" w14:paraId="16F7D586" w14:textId="77777777" w:rsidTr="002E2413">
        <w:trPr>
          <w:trHeight w:val="4046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2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Pagar únicamente los gastos razonables de desplazamiento y alojamiento a profesionales sanitarios a título individual solo para conferencias educativas y científicas organizadas por los Miembros. </w:t>
            </w:r>
          </w:p>
          <w:p w14:paraId="16F7D583" w14:textId="77777777" w:rsidR="00214F15" w:rsidRDefault="00214F1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16F7D584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Para conferencias de terceros, debe apoyar económicamente a profesionales sanitarios a título individual solo si (1) el evento organizado por un tercero es una formación práctica en técnicas y procedimientos clínicos de un tercero que generalmente se realiza en un entorno clínico o (2) si el profesional sanitario individual es un ponente o un formador profesional invitado por un miembro para hablar en un simposio satélite organizado por el miembro al margen de una conferencia de terceros.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5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es-ES"/>
              </w:rPr>
              <w:t>Reconocer</w:t>
            </w:r>
            <w:proofErr w:type="gramEnd"/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 que las autoridades contratantes solo tienen posibilidades limitadas de exonerarse de los procedimientos de licitación pública  </w:t>
            </w:r>
          </w:p>
        </w:tc>
      </w:tr>
      <w:tr w:rsidR="00214F15" w14:paraId="16F7D589" w14:textId="77777777" w:rsidTr="002E2413">
        <w:trPr>
          <w:trHeight w:val="818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7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Garantizar la hospitalidad relacionada con las reuniones, subordinadas en cuanto al tiempo y el enfoque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8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Respetar el principio de trato equitativo de los licitadores cuando se actúe como consultor independiente para una autoridad contratante  </w:t>
            </w:r>
          </w:p>
        </w:tc>
      </w:tr>
      <w:tr w:rsidR="00214F15" w:rsidRPr="003D0478" w14:paraId="16F7D58C" w14:textId="77777777" w:rsidTr="002E2413">
        <w:trPr>
          <w:trHeight w:val="972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A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Limitar las reuniones y la hospitalidad relacionada estrictamente a personas que tengan un interés profesional en la reunión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B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es-ES"/>
              </w:rPr>
              <w:t>Reconocer</w:t>
            </w:r>
            <w:proofErr w:type="gramEnd"/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 que las autoridades contratantes tienen posibilidades limitadas para realizar cambios en los documentos de licitación o el alcance del suministro </w:t>
            </w:r>
          </w:p>
        </w:tc>
      </w:tr>
      <w:tr w:rsidR="00214F15" w14:paraId="16F7D58F" w14:textId="77777777" w:rsidTr="002E2413">
        <w:trPr>
          <w:trHeight w:val="1279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D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Subvencionar conferencias para actividades científicas o educativas directamente al organizador de la conferencia, y ofrecer transparencia con respecto al apoyo financiero concedido</w:t>
            </w:r>
          </w:p>
        </w:tc>
        <w:tc>
          <w:tcPr>
            <w:tcW w:w="4531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8E" w14:textId="77777777" w:rsidR="00214F15" w:rsidRDefault="00214F1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791DFB" w:rsidRPr="00791DFB" w14:paraId="16F7D592" w14:textId="77777777" w:rsidTr="002E2413">
        <w:trPr>
          <w:trHeight w:val="533"/>
        </w:trPr>
        <w:tc>
          <w:tcPr>
            <w:tcW w:w="4423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0" w14:textId="77777777" w:rsidR="00214F15" w:rsidRPr="00791DFB" w:rsidRDefault="00A82145" w:rsidP="00791DF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</w:pP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>CONTRATOS DE CONSULTORÍA E INVESTIGACIÓN</w:t>
            </w: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1" w14:textId="77777777" w:rsidR="00214F15" w:rsidRPr="00791DFB" w:rsidRDefault="00A82145" w:rsidP="00791DF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</w:pP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>TERCEROS INDEPENDIENTES</w:t>
            </w:r>
          </w:p>
        </w:tc>
      </w:tr>
      <w:tr w:rsidR="00214F15" w14:paraId="16F7D595" w14:textId="77777777" w:rsidTr="002E2413">
        <w:trPr>
          <w:trHeight w:val="814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3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Garantizar la necesidad legítima de los servicios contratados según las cualificaciones y la experiencia del profesional sanitario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4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Seleccionar terceros independientes que se comprometan a actuar con integridad y a cumplir la ley</w:t>
            </w:r>
          </w:p>
        </w:tc>
      </w:tr>
      <w:tr w:rsidR="00214F15" w:rsidRPr="006A5877" w14:paraId="16F7D598" w14:textId="77777777" w:rsidTr="002E2413">
        <w:trPr>
          <w:trHeight w:val="679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6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Especificar los servicios y los documentos entregables en un contrato firmado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7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Realizar las investigaciones necesarias sobre los terceros independientes propuestos</w:t>
            </w:r>
          </w:p>
        </w:tc>
      </w:tr>
      <w:tr w:rsidR="00214F15" w14:paraId="16F7D59B" w14:textId="77777777" w:rsidTr="002E2413">
        <w:trPr>
          <w:trHeight w:val="821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9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Documentar la aprobación de la institución del profesional sanitario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A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Establecer obligaciones en los contratos con los terceros independientes para que cumplan el Código de COCIR y las leyes antisoborno</w:t>
            </w:r>
          </w:p>
        </w:tc>
      </w:tr>
      <w:tr w:rsidR="00214F15" w14:paraId="16F7D59E" w14:textId="77777777" w:rsidTr="00EC4711">
        <w:trPr>
          <w:trHeight w:val="680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C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Compensar económicamente los servicios de consultoría según el valor de mercado justo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D" w14:textId="77777777" w:rsidR="00214F15" w:rsidRDefault="00A82145" w:rsidP="00D51E5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Supervisar y controlar los terceros independientes</w:t>
            </w:r>
          </w:p>
        </w:tc>
      </w:tr>
      <w:tr w:rsidR="00A52716" w:rsidRPr="00791DFB" w14:paraId="16F7D5A1" w14:textId="77777777" w:rsidTr="00A52716">
        <w:trPr>
          <w:trHeight w:val="537"/>
        </w:trPr>
        <w:tc>
          <w:tcPr>
            <w:tcW w:w="4423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9F" w14:textId="2F99D059" w:rsidR="00A52716" w:rsidRPr="00791DFB" w:rsidRDefault="00A52716" w:rsidP="00791DF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s-ES"/>
              </w:rPr>
            </w:pP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lastRenderedPageBreak/>
              <w:t>EQUIPOS PARA DEMOSTRACIÓN Y EVALUACIÓN</w:t>
            </w:r>
          </w:p>
        </w:tc>
        <w:tc>
          <w:tcPr>
            <w:tcW w:w="4531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A0" w14:textId="0AF9B0FF" w:rsidR="00A52716" w:rsidRPr="00791DFB" w:rsidRDefault="00A52716" w:rsidP="00B347DE">
            <w:pPr>
              <w:spacing w:line="240" w:lineRule="auto"/>
              <w:jc w:val="center"/>
              <w:rPr>
                <w:color w:val="00B050"/>
                <w:sz w:val="18"/>
                <w:szCs w:val="18"/>
                <w:lang w:val="es-ES"/>
              </w:rPr>
            </w:pPr>
          </w:p>
        </w:tc>
      </w:tr>
      <w:tr w:rsidR="00A52716" w14:paraId="16F7D5A4" w14:textId="77777777" w:rsidTr="00A52716">
        <w:trPr>
          <w:trHeight w:val="972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A2" w14:textId="77777777" w:rsidR="00A52716" w:rsidRPr="001777E4" w:rsidRDefault="00A52716" w:rsidP="007715E5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1777E4">
              <w:rPr>
                <w:rFonts w:ascii="Verdana" w:hAnsi="Verdana"/>
                <w:sz w:val="18"/>
                <w:szCs w:val="18"/>
                <w:lang w:val="es-ES"/>
              </w:rPr>
              <w:t>Ofrecer equipos para demostración y evaluación solo durante un período razonable de tiempo, normalmente menos de 6 meses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A3" w14:textId="2807CBBA" w:rsidR="00A52716" w:rsidRDefault="00A52716" w:rsidP="00B347DE">
            <w:pPr>
              <w:rPr>
                <w:sz w:val="18"/>
                <w:szCs w:val="18"/>
                <w:lang w:val="es-ES"/>
              </w:rPr>
            </w:pPr>
          </w:p>
        </w:tc>
      </w:tr>
      <w:tr w:rsidR="00A52716" w:rsidRPr="00DE2987" w14:paraId="16F7D5A7" w14:textId="77777777" w:rsidTr="00A52716">
        <w:trPr>
          <w:trHeight w:val="680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A5" w14:textId="77777777" w:rsidR="00A52716" w:rsidRPr="001777E4" w:rsidRDefault="00A52716" w:rsidP="007715E5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1777E4">
              <w:rPr>
                <w:rFonts w:ascii="Verdana" w:hAnsi="Verdana"/>
                <w:sz w:val="18"/>
                <w:szCs w:val="18"/>
                <w:lang w:val="es-ES"/>
              </w:rPr>
              <w:t>Obtener la aprobación de la institución del profesional sanitario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A6" w14:textId="4E1F7509" w:rsidR="00A52716" w:rsidRDefault="00A52716" w:rsidP="001777E4">
            <w:pPr>
              <w:rPr>
                <w:sz w:val="18"/>
                <w:szCs w:val="18"/>
                <w:lang w:val="es-ES"/>
              </w:rPr>
            </w:pPr>
          </w:p>
        </w:tc>
      </w:tr>
      <w:tr w:rsidR="00791DFB" w:rsidRPr="00791DFB" w14:paraId="16F7D5AA" w14:textId="77777777" w:rsidTr="0062034F">
        <w:trPr>
          <w:trHeight w:val="528"/>
        </w:trPr>
        <w:tc>
          <w:tcPr>
            <w:tcW w:w="4423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A8" w14:textId="77777777" w:rsidR="00214F15" w:rsidRPr="00791DFB" w:rsidRDefault="00A82145" w:rsidP="00335C67">
            <w:pPr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</w:pP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>REGALOS Y DONACIONES BENÉFICAS</w:t>
            </w: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A9" w14:textId="77777777" w:rsidR="00214F15" w:rsidRPr="00791DFB" w:rsidRDefault="00A82145" w:rsidP="00791DF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</w:pPr>
            <w:r w:rsidRPr="00791DF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>SUBVENCIONES PARA FORMACIÓN ACADÉMICA</w:t>
            </w:r>
          </w:p>
        </w:tc>
      </w:tr>
      <w:tr w:rsidR="00214F15" w14:paraId="16F7D5AD" w14:textId="77777777" w:rsidTr="00EC4711">
        <w:trPr>
          <w:trHeight w:val="1516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AB" w14:textId="77777777" w:rsidR="00214F15" w:rsidRDefault="00A82145" w:rsidP="00EC471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Desaconsejar los regalos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AC" w14:textId="77777777" w:rsidR="00214F15" w:rsidRDefault="00A82145" w:rsidP="00EC4711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Ofrecer subvenciones para fomentar la educación puramente médica, clínica o tecnológica, o para informar a pacientes o a toda la sociedad sobre temas de salud importantes</w:t>
            </w:r>
          </w:p>
        </w:tc>
      </w:tr>
      <w:tr w:rsidR="00214F15" w14:paraId="16F7D5B0" w14:textId="77777777" w:rsidTr="00EC4711">
        <w:trPr>
          <w:trHeight w:val="1808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AE" w14:textId="77777777" w:rsidR="00214F15" w:rsidRDefault="00A82145" w:rsidP="00EC471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Limitarse a regalos ocasionales de valor modesto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AF" w14:textId="77777777" w:rsidR="00214F15" w:rsidRDefault="00A82145" w:rsidP="00EC4711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Permitir que el destinatario de la subvención (i) controle independientemente el contenido del programa, el profesorado, los métodos didácticos, el material y las becas concedidas y (ii) seleccionar a los Profesionales Sanitarios individuales que puedan beneficiarse de la subvención</w:t>
            </w:r>
          </w:p>
        </w:tc>
      </w:tr>
      <w:tr w:rsidR="00214F15" w14:paraId="16F7D5B3" w14:textId="77777777" w:rsidTr="00EC4711">
        <w:trPr>
          <w:trHeight w:val="969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B1" w14:textId="77777777" w:rsidR="00214F15" w:rsidRDefault="00A82145" w:rsidP="00EC471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Donar únicamente para fines benéficos a una organización benéfica 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B2" w14:textId="77777777" w:rsidR="00214F15" w:rsidRDefault="00A82145" w:rsidP="00EC4711">
            <w:pPr>
              <w:rPr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Garantizar que las subvenciones no estén supeditadas a ventas realizadas en el pasado, el presente o el futuro </w:t>
            </w:r>
          </w:p>
        </w:tc>
      </w:tr>
      <w:tr w:rsidR="00214F15" w14:paraId="16F7D5B6" w14:textId="77777777" w:rsidTr="00EC4711">
        <w:trPr>
          <w:trHeight w:val="1395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B4" w14:textId="77777777" w:rsidR="00214F15" w:rsidRDefault="00A82145" w:rsidP="00EC471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Garantizar a través de un proceso de evaluación interna que las donaciones no están vinculadas con negocios pasados, presentes o futuros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B5" w14:textId="77777777" w:rsidR="00214F15" w:rsidRDefault="00A82145" w:rsidP="00EC4711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Asegurarse de establecer un proceso mediante el cual las solicitudes de subvenciones educativas se evalúen por separado de las actividades comerciales y se documenten de forma coherente.</w:t>
            </w:r>
          </w:p>
        </w:tc>
      </w:tr>
      <w:tr w:rsidR="007715E5" w14:paraId="4FEE0098" w14:textId="77777777" w:rsidTr="007715E5">
        <w:trPr>
          <w:trHeight w:val="537"/>
        </w:trPr>
        <w:tc>
          <w:tcPr>
            <w:tcW w:w="4423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04E5" w14:textId="77777777" w:rsidR="007715E5" w:rsidRDefault="007715E5" w:rsidP="001777E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453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5A314" w14:textId="0B748A71" w:rsidR="007715E5" w:rsidRPr="00C760EB" w:rsidRDefault="007715E5" w:rsidP="007715E5">
            <w:pPr>
              <w:jc w:val="center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C760EB">
              <w:rPr>
                <w:rFonts w:ascii="Verdana" w:hAnsi="Verdana"/>
                <w:b/>
                <w:color w:val="00B050"/>
                <w:sz w:val="18"/>
                <w:szCs w:val="18"/>
                <w:lang w:val="es-ES"/>
              </w:rPr>
              <w:t>PATROCINIOS</w:t>
            </w:r>
          </w:p>
        </w:tc>
      </w:tr>
      <w:tr w:rsidR="007715E5" w14:paraId="3CFB1C3A" w14:textId="77777777" w:rsidTr="007715E5">
        <w:trPr>
          <w:trHeight w:val="958"/>
        </w:trPr>
        <w:tc>
          <w:tcPr>
            <w:tcW w:w="4423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67E6" w14:textId="77777777" w:rsidR="007715E5" w:rsidRDefault="007715E5" w:rsidP="001777E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6D161" w14:textId="05E1D0EE" w:rsidR="007715E5" w:rsidRDefault="007715E5" w:rsidP="00EC4711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D20E5C">
              <w:rPr>
                <w:rFonts w:ascii="Verdana" w:hAnsi="Verdana"/>
                <w:sz w:val="18"/>
                <w:szCs w:val="18"/>
                <w:lang w:val="es-ES"/>
              </w:rPr>
              <w:t>Realizar patrocinios para conferencias de terceros o formación profesional a un organizador profesional de conferencias</w:t>
            </w:r>
          </w:p>
        </w:tc>
      </w:tr>
      <w:tr w:rsidR="007715E5" w:rsidRPr="006A5877" w14:paraId="2DFEEC44" w14:textId="77777777" w:rsidTr="007715E5">
        <w:trPr>
          <w:trHeight w:val="1808"/>
        </w:trPr>
        <w:tc>
          <w:tcPr>
            <w:tcW w:w="4423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9FAD" w14:textId="5000DE67" w:rsidR="007715E5" w:rsidRDefault="007715E5" w:rsidP="003A58C2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28FAF" w14:textId="63C5492B" w:rsidR="007715E5" w:rsidRPr="00C760EB" w:rsidRDefault="007715E5" w:rsidP="00EC4711">
            <w:pPr>
              <w:rPr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Permitir que el organizador profesional de la conferencia pueda (i) controlar el contenido del programa, la facultad, los métodos educativos, los materiales, las becas otorgadas y (ii) seleccionar Profesionales Sanitarios individuales que puedan beneficiarse de la beca.</w:t>
            </w:r>
          </w:p>
        </w:tc>
      </w:tr>
    </w:tbl>
    <w:p w14:paraId="16F7D5B7" w14:textId="77777777" w:rsidR="00214F15" w:rsidRDefault="00214F15">
      <w:pPr>
        <w:rPr>
          <w:lang w:val="es-ES"/>
        </w:rPr>
      </w:pPr>
    </w:p>
    <w:p w14:paraId="16F7D5BD" w14:textId="77777777" w:rsidR="00214F15" w:rsidRDefault="00214F15">
      <w:pPr>
        <w:rPr>
          <w:lang w:val="es-ES"/>
        </w:rPr>
      </w:pPr>
    </w:p>
    <w:p w14:paraId="16F7D5BE" w14:textId="77777777" w:rsidR="00214F15" w:rsidRDefault="00214F15">
      <w:pPr>
        <w:rPr>
          <w:lang w:val="es-ES"/>
        </w:rPr>
      </w:pPr>
    </w:p>
    <w:p w14:paraId="16F7D5BF" w14:textId="77777777" w:rsidR="00214F15" w:rsidRDefault="00214F15">
      <w:pPr>
        <w:rPr>
          <w:lang w:val="es-ES"/>
        </w:rPr>
      </w:pPr>
    </w:p>
    <w:p w14:paraId="16F7D5C1" w14:textId="77777777" w:rsidR="00214F15" w:rsidRDefault="00214F15">
      <w:pPr>
        <w:rPr>
          <w:lang w:val="es-ES"/>
        </w:rPr>
      </w:pPr>
    </w:p>
    <w:p w14:paraId="16F7D5C3" w14:textId="5A5740BA" w:rsidR="00214F15" w:rsidRPr="00CF6FA6" w:rsidRDefault="00A82145" w:rsidP="00CF6FA6">
      <w:pPr>
        <w:suppressAutoHyphens w:val="0"/>
        <w:jc w:val="center"/>
        <w:rPr>
          <w:lang w:val="es-ES"/>
        </w:rPr>
      </w:pPr>
      <w:r>
        <w:rPr>
          <w:rFonts w:ascii="Verdana" w:hAnsi="Verdana"/>
          <w:b/>
          <w:color w:val="FF0000"/>
          <w:sz w:val="36"/>
          <w:szCs w:val="36"/>
          <w:lang w:val="es-ES"/>
        </w:rPr>
        <w:lastRenderedPageBreak/>
        <w:t>QUÉ SE DEBE EVITAR</w:t>
      </w:r>
    </w:p>
    <w:p w14:paraId="4CFA42C3" w14:textId="0F52BBA6" w:rsidR="00A82145" w:rsidRPr="0062034F" w:rsidRDefault="00A82145">
      <w:pPr>
        <w:shd w:val="clear" w:color="auto" w:fill="FFFFFF"/>
        <w:rPr>
          <w:rFonts w:ascii="Verdana" w:hAnsi="Verdana"/>
          <w:color w:val="FF0000"/>
          <w:sz w:val="18"/>
          <w:szCs w:val="18"/>
          <w:lang w:val="es-ES"/>
        </w:rPr>
      </w:pPr>
      <w:r w:rsidRPr="0062034F">
        <w:rPr>
          <w:rFonts w:ascii="Verdana" w:hAnsi="Verdana"/>
          <w:b/>
          <w:color w:val="FF0000"/>
          <w:sz w:val="18"/>
          <w:szCs w:val="18"/>
          <w:lang w:val="es-ES"/>
        </w:rPr>
        <w:t>IMCUMPLIR</w:t>
      </w:r>
      <w:r w:rsidRPr="0062034F">
        <w:rPr>
          <w:rFonts w:ascii="Verdana" w:hAnsi="Verdana"/>
          <w:color w:val="FF0000"/>
          <w:sz w:val="18"/>
          <w:szCs w:val="18"/>
          <w:lang w:val="es-ES"/>
        </w:rPr>
        <w:t xml:space="preserve"> LOS </w:t>
      </w:r>
      <w:r w:rsidRPr="0062034F">
        <w:rPr>
          <w:rFonts w:ascii="Verdana" w:hAnsi="Verdana"/>
          <w:b/>
          <w:color w:val="FF0000"/>
          <w:sz w:val="18"/>
          <w:szCs w:val="18"/>
          <w:lang w:val="es-ES"/>
        </w:rPr>
        <w:t>4 PRINCIPIOS BÁSICOS</w:t>
      </w:r>
      <w:r w:rsidRPr="0062034F">
        <w:rPr>
          <w:rFonts w:ascii="Verdana" w:hAnsi="Verdana"/>
          <w:color w:val="FF0000"/>
          <w:sz w:val="18"/>
          <w:szCs w:val="18"/>
          <w:lang w:val="es-ES"/>
        </w:rPr>
        <w:t xml:space="preserve"> DEL CÓDIGO DESNTOLÓGICO DE COCIR</w:t>
      </w:r>
    </w:p>
    <w:tbl>
      <w:tblPr>
        <w:tblW w:w="4865" w:type="pct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499"/>
      </w:tblGrid>
      <w:tr w:rsidR="006D0930" w:rsidRPr="006D0930" w14:paraId="16F7D5C8" w14:textId="77777777" w:rsidTr="0096508D">
        <w:trPr>
          <w:trHeight w:val="523"/>
        </w:trPr>
        <w:tc>
          <w:tcPr>
            <w:tcW w:w="251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C6" w14:textId="77777777" w:rsidR="00214F15" w:rsidRPr="006D0930" w:rsidRDefault="00A82145" w:rsidP="006D0930">
            <w:pPr>
              <w:spacing w:after="0" w:line="240" w:lineRule="auto"/>
              <w:jc w:val="center"/>
              <w:rPr>
                <w:b/>
                <w:color w:val="C00000"/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t>REGALOS Y DONACIONES BENÉFICAS</w:t>
            </w:r>
          </w:p>
        </w:tc>
        <w:tc>
          <w:tcPr>
            <w:tcW w:w="249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C7" w14:textId="77777777" w:rsidR="00214F15" w:rsidRPr="006D0930" w:rsidRDefault="00A82145" w:rsidP="006D0930">
            <w:pPr>
              <w:spacing w:after="0" w:line="240" w:lineRule="auto"/>
              <w:jc w:val="center"/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t>CONTRATOS DE CONSULTORÍA E INVESTIGACIÓN</w:t>
            </w:r>
          </w:p>
        </w:tc>
      </w:tr>
      <w:tr w:rsidR="00214F15" w14:paraId="16F7D5CB" w14:textId="77777777" w:rsidTr="0096508D">
        <w:trPr>
          <w:trHeight w:val="68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C9" w14:textId="77777777" w:rsidR="00214F15" w:rsidRDefault="00A82145" w:rsidP="006D093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Obsequiar a los profesionales sanitarios con varios regalos o de valor excesivo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CA" w14:textId="77777777" w:rsidR="00214F15" w:rsidRDefault="00A82145" w:rsidP="0096508D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Contratar a profesionales sanitarios sin una necesidad legítima, sin considerar su capacidad ni evaluar su contribución científica </w:t>
            </w:r>
          </w:p>
        </w:tc>
      </w:tr>
      <w:tr w:rsidR="00214F15" w14:paraId="16F7D5CE" w14:textId="77777777" w:rsidTr="00D7663F">
        <w:trPr>
          <w:trHeight w:val="1223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CC" w14:textId="77777777" w:rsidR="00214F15" w:rsidRDefault="00A82145" w:rsidP="006D093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Dar dinero en efectivo o equivalentes de efectivo 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CD" w14:textId="77777777" w:rsidR="00214F15" w:rsidRDefault="00A82145" w:rsidP="00D7663F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Vincular la financiación de la investigación a las ventas de los productos de los miembros (a menos que el producto esté destinado específicamente para usarlo en la investigación o esté asociado a una licitación)</w:t>
            </w:r>
          </w:p>
        </w:tc>
      </w:tr>
      <w:tr w:rsidR="00214F15" w14:paraId="16F7D5D1" w14:textId="77777777" w:rsidTr="0096508D">
        <w:trPr>
          <w:trHeight w:val="68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CF" w14:textId="77777777" w:rsidR="00214F15" w:rsidRDefault="00A82145" w:rsidP="006D093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Realizar donaciones para fines no benéficos o a organizaciones no benéficas 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D0" w14:textId="77777777" w:rsidR="00214F15" w:rsidRDefault="00A82145" w:rsidP="0062034F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Imprecisión en cuanto a documentos entregables y plazos </w:t>
            </w:r>
          </w:p>
        </w:tc>
      </w:tr>
      <w:tr w:rsidR="00214F15" w14:paraId="16F7D5D4" w14:textId="77777777" w:rsidTr="0096508D">
        <w:trPr>
          <w:trHeight w:val="68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D2" w14:textId="77777777" w:rsidR="00214F15" w:rsidRDefault="00A82145" w:rsidP="006D093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Realizar donaciones con la intención de influir en una transacción comercial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D3" w14:textId="77777777" w:rsidR="00214F15" w:rsidRDefault="00A82145" w:rsidP="0062034F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Ocultar el contrato a la institución del profesional sanitario </w:t>
            </w:r>
          </w:p>
        </w:tc>
      </w:tr>
      <w:tr w:rsidR="00214F15" w14:paraId="16F7D5D7" w14:textId="77777777" w:rsidTr="0096508D">
        <w:trPr>
          <w:trHeight w:val="68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D5" w14:textId="77777777" w:rsidR="00214F15" w:rsidRDefault="00A82145" w:rsidP="006D093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Ocultar la donación a la institución del profesional sanitario 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D6" w14:textId="77777777" w:rsidR="00214F15" w:rsidRDefault="00A82145" w:rsidP="0062034F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>Fijar una retribución sin considerar el valor de mercado justo</w:t>
            </w:r>
          </w:p>
        </w:tc>
      </w:tr>
      <w:tr w:rsidR="006D0930" w:rsidRPr="006D0930" w14:paraId="16F7D5DA" w14:textId="77777777" w:rsidTr="0096508D">
        <w:trPr>
          <w:trHeight w:val="680"/>
        </w:trPr>
        <w:tc>
          <w:tcPr>
            <w:tcW w:w="251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D8" w14:textId="1A9878A2" w:rsidR="00214F15" w:rsidRPr="006D0930" w:rsidRDefault="00A82145" w:rsidP="0062034F">
            <w:pPr>
              <w:spacing w:after="0" w:line="240" w:lineRule="auto"/>
              <w:jc w:val="center"/>
              <w:rPr>
                <w:color w:val="C00000"/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t>EQUIPOS PARA DEMOSTRACIÓN Y EVALUACIÓN</w:t>
            </w:r>
          </w:p>
        </w:tc>
        <w:tc>
          <w:tcPr>
            <w:tcW w:w="249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D9" w14:textId="77777777" w:rsidR="00214F15" w:rsidRPr="006D0930" w:rsidRDefault="00A82145" w:rsidP="0062034F">
            <w:pPr>
              <w:spacing w:after="0" w:line="240" w:lineRule="auto"/>
              <w:jc w:val="center"/>
              <w:rPr>
                <w:color w:val="C00000"/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t>CONTRATACIÓN PÚBLICA</w:t>
            </w:r>
          </w:p>
        </w:tc>
      </w:tr>
      <w:tr w:rsidR="00214F15" w14:paraId="16F7D5DD" w14:textId="77777777" w:rsidTr="0096508D">
        <w:trPr>
          <w:trHeight w:val="68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DB" w14:textId="77777777" w:rsidR="00214F15" w:rsidRDefault="00A82145" w:rsidP="0062034F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Prestar equipos sin un motivo adecuado o durante un período superior a 6 meses 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DC" w14:textId="77777777" w:rsidR="00214F15" w:rsidRDefault="00A82145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Influir indebidamente en las especificaciones técnicas</w:t>
            </w:r>
          </w:p>
        </w:tc>
      </w:tr>
      <w:tr w:rsidR="00214F15" w14:paraId="16F7D5E0" w14:textId="77777777" w:rsidTr="0096508D">
        <w:trPr>
          <w:trHeight w:val="1151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DE" w14:textId="77777777" w:rsidR="00214F15" w:rsidRDefault="00A82145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Ocultar el préstamo a la institución del profesional sanitario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DF" w14:textId="77777777" w:rsidR="00214F15" w:rsidRDefault="00A82145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Ofrecer, ya sea directa o indirectamente, regalos u otro tipo de beneficio para influir indebidamente en los profesionales sanitarios durante el proceso de licitación pública </w:t>
            </w:r>
          </w:p>
        </w:tc>
      </w:tr>
      <w:tr w:rsidR="0002259F" w14:paraId="16F7D5E3" w14:textId="77777777" w:rsidTr="00063577">
        <w:trPr>
          <w:trHeight w:val="686"/>
        </w:trPr>
        <w:tc>
          <w:tcPr>
            <w:tcW w:w="251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5E1" w14:textId="51BA4A45" w:rsidR="0002259F" w:rsidRDefault="0002259F" w:rsidP="00063577">
            <w:pPr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t>REUNIONES, HOSPITALIDAD Y CONFERENCIAS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2" w14:textId="77777777" w:rsidR="0002259F" w:rsidRDefault="0002259F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Animar a las autoridades contratantes a que busquen excepciones de los procedimientos de licitación pública de manera indebida </w:t>
            </w:r>
          </w:p>
        </w:tc>
      </w:tr>
      <w:tr w:rsidR="0096508D" w:rsidRPr="006D0930" w14:paraId="16F7D5E6" w14:textId="77777777" w:rsidTr="0096508D">
        <w:trPr>
          <w:trHeight w:val="456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4" w14:textId="4D6B8269" w:rsidR="0096508D" w:rsidRPr="006D0930" w:rsidRDefault="0096508D" w:rsidP="0096508D">
            <w:pPr>
              <w:spacing w:after="0" w:line="240" w:lineRule="auto"/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Celebrar reuniones en lugares inapropiados </w:t>
            </w:r>
          </w:p>
        </w:tc>
        <w:tc>
          <w:tcPr>
            <w:tcW w:w="2490" w:type="pct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5" w14:textId="2497B421" w:rsidR="0096508D" w:rsidRPr="006D0930" w:rsidRDefault="0096508D" w:rsidP="006D0930">
            <w:pPr>
              <w:jc w:val="center"/>
              <w:rPr>
                <w:rFonts w:ascii="Verdana" w:hAnsi="Verdana"/>
                <w:b/>
                <w:color w:val="C00000"/>
                <w:sz w:val="18"/>
                <w:szCs w:val="18"/>
                <w:highlight w:val="yellow"/>
                <w:lang w:val="es-ES"/>
              </w:rPr>
            </w:pPr>
          </w:p>
        </w:tc>
      </w:tr>
      <w:tr w:rsidR="0096508D" w14:paraId="16F7D5E9" w14:textId="77777777" w:rsidTr="0096508D">
        <w:trPr>
          <w:trHeight w:val="735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7" w14:textId="5943C626" w:rsidR="0096508D" w:rsidRDefault="0096508D" w:rsidP="006D0930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>Pagar apoyo económico a profesionales sanitarios individuales para asistir a conferencias de terceros</w:t>
            </w:r>
          </w:p>
        </w:tc>
        <w:tc>
          <w:tcPr>
            <w:tcW w:w="249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8" w14:textId="6AE61959" w:rsidR="0096508D" w:rsidRDefault="0096508D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96508D" w14:paraId="16F7D5EC" w14:textId="77777777" w:rsidTr="0096508D">
        <w:trPr>
          <w:trHeight w:val="68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A" w14:textId="0C752EC5" w:rsidR="0096508D" w:rsidRDefault="0096508D" w:rsidP="006D0930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>Contribuir en conferencias sin un contenido o valor aparentemente científico o educativo</w:t>
            </w:r>
          </w:p>
        </w:tc>
        <w:tc>
          <w:tcPr>
            <w:tcW w:w="249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B" w14:textId="1867507D" w:rsidR="0096508D" w:rsidRDefault="0096508D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96508D" w14:paraId="16F7D5EF" w14:textId="77777777" w:rsidTr="0096508D">
        <w:trPr>
          <w:trHeight w:val="432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D" w14:textId="5BC3BFCE" w:rsidR="0096508D" w:rsidRDefault="0096508D" w:rsidP="006D0930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Tratar al profesional sanitario de manera excesivamente generosa </w:t>
            </w:r>
          </w:p>
        </w:tc>
        <w:tc>
          <w:tcPr>
            <w:tcW w:w="249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EE" w14:textId="4E878747" w:rsidR="0096508D" w:rsidRDefault="0096508D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96508D" w14:paraId="16F7D5F2" w14:textId="77777777" w:rsidTr="0096508D">
        <w:trPr>
          <w:trHeight w:val="57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0" w14:textId="08D8CFDA" w:rsidR="0096508D" w:rsidRDefault="0096508D" w:rsidP="006D0930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>Organizar una hospitalidad excesiva con relación a la reunión</w:t>
            </w:r>
          </w:p>
        </w:tc>
        <w:tc>
          <w:tcPr>
            <w:tcW w:w="249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1" w14:textId="405D8DA7" w:rsidR="0096508D" w:rsidRDefault="0096508D" w:rsidP="006D0930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96508D" w14:paraId="16F7D5F5" w14:textId="77777777" w:rsidTr="0096508D">
        <w:trPr>
          <w:trHeight w:val="680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3" w14:textId="2A304A55" w:rsidR="0096508D" w:rsidRDefault="0096508D" w:rsidP="006D0930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Ampliar las invitaciones a otras personas, además del profesional sanitario (como cónyuges) </w:t>
            </w:r>
          </w:p>
        </w:tc>
        <w:tc>
          <w:tcPr>
            <w:tcW w:w="249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D5F4" w14:textId="77777777" w:rsidR="0096508D" w:rsidRDefault="0096508D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96508D" w14:paraId="16F7D5F8" w14:textId="77777777" w:rsidTr="0096508D">
        <w:trPr>
          <w:trHeight w:val="679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6" w14:textId="3827F75A" w:rsidR="0096508D" w:rsidRDefault="0096508D" w:rsidP="008E2BB6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>Ocultar la remuneración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 a la institución del profesional sanitario </w:t>
            </w:r>
          </w:p>
        </w:tc>
        <w:tc>
          <w:tcPr>
            <w:tcW w:w="2490" w:type="pct"/>
            <w:vMerge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7" w14:textId="6B440111" w:rsidR="0096508D" w:rsidRDefault="0096508D" w:rsidP="008E2BB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96508D" w14:paraId="16F7D5FB" w14:textId="77777777" w:rsidTr="007F35A1">
        <w:trPr>
          <w:trHeight w:val="680"/>
        </w:trPr>
        <w:tc>
          <w:tcPr>
            <w:tcW w:w="251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9" w14:textId="3C652B3C" w:rsidR="0096508D" w:rsidRDefault="0096508D" w:rsidP="007F35A1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lastRenderedPageBreak/>
              <w:t>TERCEROS INDEPENDIENTES</w:t>
            </w:r>
          </w:p>
        </w:tc>
        <w:tc>
          <w:tcPr>
            <w:tcW w:w="249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A" w14:textId="001DB91B" w:rsidR="0096508D" w:rsidRDefault="0096508D" w:rsidP="008E2BB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t>SUBVENCIONES PARA FORMACIÓN ACADÉMICA</w:t>
            </w:r>
          </w:p>
        </w:tc>
      </w:tr>
      <w:tr w:rsidR="0096508D" w14:paraId="3C5266B2" w14:textId="77777777" w:rsidTr="007F35A1">
        <w:trPr>
          <w:trHeight w:val="689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86C3" w14:textId="630387AD" w:rsidR="0096508D" w:rsidRDefault="0096508D" w:rsidP="00BA6E1F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No realizar las investigaciones necesarias sobre los terceros independientes propuestos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BFA1" w14:textId="7C4FE7BE" w:rsidR="0096508D" w:rsidRDefault="0096508D" w:rsidP="00BA6E1F">
            <w:pPr>
              <w:spacing w:after="0" w:line="240" w:lineRule="auto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Subvencionar a profesionales sanitarios individuales </w:t>
            </w:r>
          </w:p>
        </w:tc>
      </w:tr>
      <w:tr w:rsidR="0096508D" w14:paraId="1729EDB7" w14:textId="77777777" w:rsidTr="00BA6E1F">
        <w:trPr>
          <w:trHeight w:val="1804"/>
        </w:trPr>
        <w:tc>
          <w:tcPr>
            <w:tcW w:w="25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745A" w14:textId="4D334609" w:rsidR="0096508D" w:rsidRDefault="0096508D" w:rsidP="00BA6E1F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No supervisar ni formar a los profesionales sanitarios</w:t>
            </w: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66AE" w14:textId="106375D1" w:rsidR="0096508D" w:rsidRDefault="0096508D" w:rsidP="00BA6E1F">
            <w:pPr>
              <w:spacing w:after="0" w:line="240" w:lineRule="auto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Usar las subvenciones para financiar directamente a profesores, directores de departamentos u otros puestos similares,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la asistencia de profesionales sanitarios individuales nombrados a conferencias de terceros, o sustituir los presupuestos del departamento. </w:t>
            </w:r>
          </w:p>
        </w:tc>
      </w:tr>
      <w:tr w:rsidR="00BA6E1F" w14:paraId="02BE08D3" w14:textId="77777777" w:rsidTr="00BA6E1F">
        <w:trPr>
          <w:trHeight w:val="1103"/>
        </w:trPr>
        <w:tc>
          <w:tcPr>
            <w:tcW w:w="2510" w:type="pct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2EF5" w14:textId="4312B74A" w:rsidR="00BA6E1F" w:rsidRDefault="00BA6E1F" w:rsidP="008E2BB6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2E1E" w14:textId="1A5B4311" w:rsidR="00BA6E1F" w:rsidRDefault="00BA6E1F" w:rsidP="00BA6E1F">
            <w:pPr>
              <w:spacing w:after="0" w:line="240" w:lineRule="auto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Otorgar subvenciones que no se limiten a la educación médica y sin control del uso de las subvenciones por parte de los beneficiarios de </w:t>
            </w:r>
            <w:proofErr w:type="gramStart"/>
            <w:r>
              <w:rPr>
                <w:rFonts w:ascii="Verdana" w:hAnsi="Verdana"/>
                <w:sz w:val="18"/>
                <w:szCs w:val="18"/>
                <w:lang w:val="es-ES"/>
              </w:rPr>
              <w:t>las mismas</w:t>
            </w:r>
            <w:proofErr w:type="gramEnd"/>
          </w:p>
        </w:tc>
      </w:tr>
      <w:tr w:rsidR="00BA6E1F" w:rsidRPr="006D0930" w14:paraId="16F7D5FE" w14:textId="77777777" w:rsidTr="00BA6E1F">
        <w:trPr>
          <w:trHeight w:val="904"/>
        </w:trPr>
        <w:tc>
          <w:tcPr>
            <w:tcW w:w="251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D5FC" w14:textId="0AC5A91F" w:rsidR="00BA6E1F" w:rsidRPr="006D0930" w:rsidRDefault="00BA6E1F" w:rsidP="006D0930">
            <w:pPr>
              <w:spacing w:after="0" w:line="240" w:lineRule="auto"/>
              <w:jc w:val="center"/>
              <w:rPr>
                <w:color w:val="C00000"/>
                <w:sz w:val="18"/>
                <w:szCs w:val="18"/>
                <w:lang w:val="es-ES"/>
              </w:rPr>
            </w:pP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5FD" w14:textId="42257678" w:rsidR="00BA6E1F" w:rsidRPr="006D0930" w:rsidRDefault="00BA6E1F" w:rsidP="00BA6E1F">
            <w:pPr>
              <w:spacing w:after="0" w:line="240" w:lineRule="auto"/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Solicitar la selección de ciertos ponentes o profesionales sanitarios individuales para la conferencia de terceros</w:t>
            </w:r>
          </w:p>
        </w:tc>
      </w:tr>
      <w:tr w:rsidR="00BA6E1F" w14:paraId="16F7D601" w14:textId="77777777" w:rsidTr="00BA6E1F">
        <w:trPr>
          <w:trHeight w:val="600"/>
        </w:trPr>
        <w:tc>
          <w:tcPr>
            <w:tcW w:w="251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D5FF" w14:textId="5BF5BA97" w:rsidR="00BA6E1F" w:rsidRDefault="00BA6E1F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490" w:type="pct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7D600" w14:textId="2B0354A9" w:rsidR="00BA6E1F" w:rsidRDefault="00BA6E1F" w:rsidP="00BA6E1F">
            <w:pPr>
              <w:jc w:val="center"/>
              <w:rPr>
                <w:sz w:val="18"/>
                <w:szCs w:val="18"/>
                <w:lang w:val="es-ES"/>
              </w:rPr>
            </w:pPr>
            <w:r w:rsidRPr="006D0930">
              <w:rPr>
                <w:rFonts w:ascii="Verdana" w:hAnsi="Verdana"/>
                <w:b/>
                <w:color w:val="C00000"/>
                <w:sz w:val="18"/>
                <w:szCs w:val="18"/>
                <w:lang w:val="es-ES"/>
              </w:rPr>
              <w:t>PATROCINIO</w:t>
            </w:r>
          </w:p>
        </w:tc>
      </w:tr>
      <w:tr w:rsidR="00BA6E1F" w14:paraId="416085A7" w14:textId="77777777" w:rsidTr="00BA6E1F">
        <w:trPr>
          <w:trHeight w:val="1305"/>
        </w:trPr>
        <w:tc>
          <w:tcPr>
            <w:tcW w:w="2510" w:type="pct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AE67" w14:textId="77777777" w:rsidR="00BA6E1F" w:rsidRDefault="00BA6E1F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4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2652E" w14:textId="2EF43FE5" w:rsidR="00BA6E1F" w:rsidRDefault="00BA6E1F" w:rsidP="00BA6E1F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Solicitar la selección de ciertos ponentes o profesionales sanitarios individuales para la conferencia organizada por el organizador profesional de la conferencia</w:t>
            </w:r>
          </w:p>
        </w:tc>
      </w:tr>
    </w:tbl>
    <w:p w14:paraId="16F7D605" w14:textId="4808940D" w:rsidR="00214F15" w:rsidRDefault="00214F15">
      <w:pPr>
        <w:rPr>
          <w:rFonts w:ascii="Verdana" w:hAnsi="Verdana"/>
          <w:sz w:val="18"/>
          <w:szCs w:val="18"/>
        </w:rPr>
      </w:pPr>
    </w:p>
    <w:p w14:paraId="0C2488D9" w14:textId="77777777" w:rsidR="007F35A1" w:rsidRDefault="007F35A1">
      <w:pPr>
        <w:rPr>
          <w:rFonts w:ascii="Verdana" w:hAnsi="Verdana"/>
          <w:sz w:val="18"/>
          <w:szCs w:val="18"/>
        </w:rPr>
      </w:pPr>
    </w:p>
    <w:p w14:paraId="16F7D606" w14:textId="77777777" w:rsidR="00214F15" w:rsidRDefault="00A82145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Consulte el documento de preguntas y respuestas correspondiente para una orientación en la interpretación del Código.  Busque asesoramiento o notifique cualquier caso de incumplimiento al Comité del Código deontológico de COCIR.</w:t>
      </w:r>
    </w:p>
    <w:p w14:paraId="16F7D607" w14:textId="77777777" w:rsidR="00214F15" w:rsidRDefault="00214F15"/>
    <w:sectPr w:rsidR="00214F15" w:rsidSect="003B0EE0">
      <w:footerReference w:type="default" r:id="rId10"/>
      <w:pgSz w:w="11906" w:h="16838"/>
      <w:pgMar w:top="992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D60B" w14:textId="77777777" w:rsidR="00214F15" w:rsidRDefault="00A82145">
      <w:pPr>
        <w:spacing w:after="0" w:line="240" w:lineRule="auto"/>
      </w:pPr>
      <w:r>
        <w:separator/>
      </w:r>
    </w:p>
  </w:endnote>
  <w:endnote w:type="continuationSeparator" w:id="0">
    <w:p w14:paraId="16F7D60C" w14:textId="77777777" w:rsidR="00214F15" w:rsidRDefault="00A82145">
      <w:pPr>
        <w:spacing w:after="0" w:line="240" w:lineRule="auto"/>
      </w:pPr>
      <w:r>
        <w:continuationSeparator/>
      </w:r>
    </w:p>
  </w:endnote>
  <w:endnote w:type="continuationNotice" w:id="1">
    <w:p w14:paraId="16F7D60D" w14:textId="77777777" w:rsidR="00214F15" w:rsidRDefault="00214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74AD" w14:textId="77AD86B7" w:rsidR="00CA260D" w:rsidRPr="003B0EE0" w:rsidRDefault="00CA260D" w:rsidP="00CA260D">
    <w:pPr>
      <w:pStyle w:val="Pieddepage"/>
      <w:jc w:val="center"/>
      <w:rPr>
        <w:lang w:val="es-ES"/>
      </w:rPr>
    </w:pPr>
    <w:r w:rsidRPr="003B0EE0">
      <w:rPr>
        <w:rFonts w:ascii="Verdana" w:hAnsi="Verdana"/>
        <w:sz w:val="18"/>
        <w:szCs w:val="18"/>
        <w:lang w:val="es-ES"/>
      </w:rPr>
      <w:fldChar w:fldCharType="begin"/>
    </w:r>
    <w:r w:rsidRPr="003B0EE0">
      <w:rPr>
        <w:rFonts w:ascii="Verdana" w:hAnsi="Verdana"/>
        <w:sz w:val="18"/>
        <w:szCs w:val="18"/>
        <w:lang w:val="es-ES"/>
      </w:rPr>
      <w:instrText>PAGE   \* MERGEFORMAT</w:instrText>
    </w:r>
    <w:r w:rsidRPr="003B0EE0">
      <w:rPr>
        <w:rFonts w:ascii="Verdana" w:hAnsi="Verdana"/>
        <w:sz w:val="18"/>
        <w:szCs w:val="18"/>
        <w:lang w:val="es-ES"/>
      </w:rPr>
      <w:fldChar w:fldCharType="separate"/>
    </w:r>
    <w:r w:rsidRPr="003B0EE0">
      <w:rPr>
        <w:rFonts w:ascii="Verdana" w:hAnsi="Verdana"/>
        <w:sz w:val="18"/>
        <w:szCs w:val="18"/>
        <w:lang w:val="es-ES"/>
      </w:rPr>
      <w:t>1</w:t>
    </w:r>
    <w:r w:rsidRPr="003B0EE0">
      <w:rPr>
        <w:lang w:val="es-ES"/>
      </w:rPr>
      <w:fldChar w:fldCharType="end"/>
    </w:r>
    <w:r w:rsidRPr="003B0EE0">
      <w:rPr>
        <w:rFonts w:ascii="Verdana" w:hAnsi="Verdana"/>
        <w:sz w:val="18"/>
        <w:szCs w:val="18"/>
        <w:lang w:val="es-ES"/>
      </w:rPr>
      <w:t xml:space="preserve"> </w:t>
    </w:r>
    <w:r w:rsidR="003B0EE0" w:rsidRPr="003B0EE0">
      <w:rPr>
        <w:rFonts w:ascii="Verdana" w:hAnsi="Verdana"/>
        <w:sz w:val="18"/>
        <w:szCs w:val="18"/>
        <w:lang w:val="es-ES"/>
      </w:rPr>
      <w:t>de</w:t>
    </w:r>
    <w:r w:rsidRPr="003B0EE0">
      <w:rPr>
        <w:rFonts w:ascii="Verdana" w:hAnsi="Verdana"/>
        <w:sz w:val="18"/>
        <w:szCs w:val="18"/>
        <w:lang w:val="es-ES"/>
      </w:rPr>
      <w:t xml:space="preserve"> </w:t>
    </w:r>
    <w:r w:rsidRPr="003B0EE0">
      <w:rPr>
        <w:rFonts w:ascii="Verdana" w:hAnsi="Verdana"/>
        <w:noProof/>
        <w:sz w:val="18"/>
        <w:szCs w:val="18"/>
        <w:lang w:val="es-ES"/>
      </w:rPr>
      <w:fldChar w:fldCharType="begin"/>
    </w:r>
    <w:r w:rsidRPr="003B0EE0">
      <w:rPr>
        <w:rFonts w:ascii="Verdana" w:hAnsi="Verdana"/>
        <w:noProof/>
        <w:sz w:val="18"/>
        <w:szCs w:val="18"/>
        <w:lang w:val="es-ES"/>
      </w:rPr>
      <w:instrText xml:space="preserve"> NUMPAGES   \* MERGEFORMAT </w:instrText>
    </w:r>
    <w:r w:rsidRPr="003B0EE0">
      <w:rPr>
        <w:rFonts w:ascii="Verdana" w:hAnsi="Verdana"/>
        <w:noProof/>
        <w:sz w:val="18"/>
        <w:szCs w:val="18"/>
        <w:lang w:val="es-ES"/>
      </w:rPr>
      <w:fldChar w:fldCharType="separate"/>
    </w:r>
    <w:r w:rsidRPr="003B0EE0">
      <w:rPr>
        <w:rFonts w:ascii="Verdana" w:hAnsi="Verdana"/>
        <w:noProof/>
        <w:sz w:val="18"/>
        <w:szCs w:val="18"/>
        <w:lang w:val="es-ES"/>
      </w:rPr>
      <w:t>5</w:t>
    </w:r>
    <w:r w:rsidRPr="003B0EE0">
      <w:rPr>
        <w:rFonts w:ascii="Verdana" w:hAnsi="Verdana"/>
        <w:noProof/>
        <w:sz w:val="18"/>
        <w:szCs w:val="18"/>
        <w:lang w:val="es-ES"/>
      </w:rPr>
      <w:fldChar w:fldCharType="end"/>
    </w:r>
    <w:r w:rsidRPr="003B0EE0">
      <w:rPr>
        <w:lang w:val="es-ES"/>
      </w:rPr>
      <w:t xml:space="preserve"> – 15 </w:t>
    </w:r>
    <w:r w:rsidR="003B0EE0" w:rsidRPr="003B0EE0">
      <w:rPr>
        <w:lang w:val="es-ES"/>
      </w:rPr>
      <w:t>marzo</w:t>
    </w:r>
    <w:r w:rsidRPr="003B0EE0">
      <w:rPr>
        <w:lang w:val="es-ES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D608" w14:textId="77777777" w:rsidR="00214F15" w:rsidRDefault="00A821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F7D609" w14:textId="77777777" w:rsidR="00214F15" w:rsidRDefault="00A82145">
      <w:pPr>
        <w:spacing w:after="0" w:line="240" w:lineRule="auto"/>
      </w:pPr>
      <w:r>
        <w:continuationSeparator/>
      </w:r>
    </w:p>
  </w:footnote>
  <w:footnote w:type="continuationNotice" w:id="1">
    <w:p w14:paraId="16F7D60A" w14:textId="77777777" w:rsidR="00214F15" w:rsidRDefault="00214F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15"/>
    <w:rsid w:val="0002259F"/>
    <w:rsid w:val="00063577"/>
    <w:rsid w:val="001777E4"/>
    <w:rsid w:val="00214F15"/>
    <w:rsid w:val="002E2413"/>
    <w:rsid w:val="003137B4"/>
    <w:rsid w:val="00335C67"/>
    <w:rsid w:val="003A58C2"/>
    <w:rsid w:val="003B0EE0"/>
    <w:rsid w:val="003D0478"/>
    <w:rsid w:val="003E3923"/>
    <w:rsid w:val="00507E42"/>
    <w:rsid w:val="00576C6C"/>
    <w:rsid w:val="0062034F"/>
    <w:rsid w:val="006432B9"/>
    <w:rsid w:val="006A5877"/>
    <w:rsid w:val="006D0930"/>
    <w:rsid w:val="007715E5"/>
    <w:rsid w:val="00773704"/>
    <w:rsid w:val="00791DFB"/>
    <w:rsid w:val="007971EE"/>
    <w:rsid w:val="007C17E2"/>
    <w:rsid w:val="007F35A1"/>
    <w:rsid w:val="007F5D8A"/>
    <w:rsid w:val="008E2BB6"/>
    <w:rsid w:val="0096508D"/>
    <w:rsid w:val="00A52716"/>
    <w:rsid w:val="00A82145"/>
    <w:rsid w:val="00B347DE"/>
    <w:rsid w:val="00BA6E1F"/>
    <w:rsid w:val="00BB2437"/>
    <w:rsid w:val="00C35B53"/>
    <w:rsid w:val="00C760EB"/>
    <w:rsid w:val="00CA260D"/>
    <w:rsid w:val="00CF6FA6"/>
    <w:rsid w:val="00D20E5C"/>
    <w:rsid w:val="00D51E51"/>
    <w:rsid w:val="00D7663F"/>
    <w:rsid w:val="00D93A73"/>
    <w:rsid w:val="00DE2987"/>
    <w:rsid w:val="00EB46A3"/>
    <w:rsid w:val="00EC4711"/>
    <w:rsid w:val="00F0018A"/>
    <w:rsid w:val="00FA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F7D574"/>
  <w15:docId w15:val="{1EF4A6A2-034C-462D-AB7D-4FFF6B0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791DFB"/>
    <w:pPr>
      <w:spacing w:after="0" w:line="240" w:lineRule="auto"/>
      <w:jc w:val="center"/>
      <w:outlineLvl w:val="0"/>
    </w:pPr>
    <w:rPr>
      <w:rFonts w:ascii="Verdana" w:hAnsi="Verdana"/>
      <w:b/>
      <w:color w:val="00B050"/>
      <w:sz w:val="18"/>
      <w:szCs w:val="18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91DFB"/>
    <w:rPr>
      <w:rFonts w:ascii="Verdana" w:hAnsi="Verdana"/>
      <w:b/>
      <w:color w:val="00B050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1591a-b1b3-4f13-b72b-704c6f667452">
      <Terms xmlns="http://schemas.microsoft.com/office/infopath/2007/PartnerControls"/>
    </lcf76f155ced4ddcb4097134ff3c332f>
    <TaxCatchAll xmlns="1d7e989e-d6b5-4b59-a8d8-6a78906f5c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8C07DE7060F4696C871E28BC0B696" ma:contentTypeVersion="12" ma:contentTypeDescription="Create a new document." ma:contentTypeScope="" ma:versionID="f1b5895bf5eae3badb81847dfe7be0e2">
  <xsd:schema xmlns:xsd="http://www.w3.org/2001/XMLSchema" xmlns:xs="http://www.w3.org/2001/XMLSchema" xmlns:p="http://schemas.microsoft.com/office/2006/metadata/properties" xmlns:ns2="5b41591a-b1b3-4f13-b72b-704c6f667452" xmlns:ns3="1d7e989e-d6b5-4b59-a8d8-6a78906f5c59" targetNamespace="http://schemas.microsoft.com/office/2006/metadata/properties" ma:root="true" ma:fieldsID="753c8ee931985d68397c1c0655664ad1" ns2:_="" ns3:_="">
    <xsd:import namespace="5b41591a-b1b3-4f13-b72b-704c6f667452"/>
    <xsd:import namespace="1d7e989e-d6b5-4b59-a8d8-6a78906f5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591a-b1b3-4f13-b72b-704c6f667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a7b25a-d632-488b-8ecb-e20f2a150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e989e-d6b5-4b59-a8d8-6a78906f5c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305c4-8f22-48e4-9957-c142571570f8}" ma:internalName="TaxCatchAll" ma:showField="CatchAllData" ma:web="1d7e989e-d6b5-4b59-a8d8-6a78906f5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8587-FA82-4213-A3D9-6B33866A0A33}">
  <ds:schemaRefs>
    <ds:schemaRef ds:uri="http://purl.org/dc/elements/1.1/"/>
    <ds:schemaRef ds:uri="http://schemas.microsoft.com/office/2006/metadata/properties"/>
    <ds:schemaRef ds:uri="99c2f25a-79c9-4c58-b8e8-ff65bc81bda4"/>
    <ds:schemaRef ds:uri="http://purl.org/dc/terms/"/>
    <ds:schemaRef ds:uri="f1d8a9e5-d054-4906-9ed0-687cf7b9c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4561F-F6C4-4600-AE00-26DABA11C582}"/>
</file>

<file path=customXml/itemProps3.xml><?xml version="1.0" encoding="utf-8"?>
<ds:datastoreItem xmlns:ds="http://schemas.openxmlformats.org/officeDocument/2006/customXml" ds:itemID="{7FA9E7F1-E292-4B5B-B85A-7F9AEE5F8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C71C2-FF90-4977-A538-2EC619E8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6822</Characters>
  <Application>Microsoft Office Word</Application>
  <DocSecurity>4</DocSecurity>
  <Lines>56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Siemens AG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Cazenave</dc:creator>
  <cp:lastModifiedBy>Magali Leroux</cp:lastModifiedBy>
  <cp:revision>2</cp:revision>
  <cp:lastPrinted>2018-10-16T11:46:00Z</cp:lastPrinted>
  <dcterms:created xsi:type="dcterms:W3CDTF">2018-11-06T10:39:00Z</dcterms:created>
  <dcterms:modified xsi:type="dcterms:W3CDTF">2018-11-06T10:39:00Z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0x0101004B28C07DE7060F4696C871E28BC0B696</vt:lpwstr>
  </property>
  <property fmtid="{D5CDD505-2E9C-101B-9397-08002B2CF9AE}" pid="3" name="Order">
    <vt:r8>1857000</vt:r8>
  </property>
  <property fmtid="{D5CDD505-2E9C-101B-9397-08002B2CF9AE}" pid="4" name="_NewReviewCycle">
    <vt:lpwstr/>
  </property>
</Properties>
</file>