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F0AD" w14:textId="6FC5E3F0" w:rsidR="00E05D2C" w:rsidRPr="001501A4" w:rsidRDefault="00E05D2C" w:rsidP="007D03D0">
      <w:pPr>
        <w:spacing w:line="240" w:lineRule="auto"/>
        <w:jc w:val="center"/>
        <w:rPr>
          <w:rFonts w:ascii="Verdana" w:hAnsi="Verdana"/>
          <w:b/>
          <w:color w:val="92D050"/>
          <w:sz w:val="36"/>
          <w:szCs w:val="36"/>
          <w:lang w:val="de-DE"/>
        </w:rPr>
      </w:pPr>
      <w:bookmarkStart w:id="0" w:name="_GoBack"/>
      <w:bookmarkEnd w:id="0"/>
      <w:r w:rsidRPr="001501A4">
        <w:rPr>
          <w:rFonts w:ascii="Verdana" w:hAnsi="Verdana"/>
          <w:b/>
          <w:color w:val="92D050"/>
          <w:sz w:val="36"/>
          <w:szCs w:val="36"/>
          <w:lang w:val="de-DE"/>
        </w:rPr>
        <w:t>GEBOTE</w:t>
      </w:r>
    </w:p>
    <w:p w14:paraId="47934983" w14:textId="20EA73F6" w:rsidR="00491191" w:rsidRPr="001501A4" w:rsidRDefault="00491191" w:rsidP="00491191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</w:pPr>
      <w:r w:rsidRPr="001501A4"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  <w:t xml:space="preserve">EINHALTUNG DER </w:t>
      </w:r>
      <w:r w:rsidRPr="001501A4">
        <w:rPr>
          <w:rFonts w:ascii="Verdana" w:eastAsia="MS Mincho" w:hAnsi="Verdana"/>
          <w:b/>
          <w:color w:val="00B050"/>
          <w:sz w:val="19"/>
          <w:szCs w:val="19"/>
          <w:lang w:val="de-DE" w:eastAsia="fr-FR" w:bidi="ar-SA"/>
        </w:rPr>
        <w:t>4 PRINZIPIEN</w:t>
      </w:r>
      <w:r w:rsidRPr="001501A4">
        <w:rPr>
          <w:rFonts w:ascii="Verdana" w:eastAsia="MS Mincho" w:hAnsi="Verdana"/>
          <w:color w:val="00B050"/>
          <w:sz w:val="19"/>
          <w:szCs w:val="19"/>
          <w:lang w:val="de-DE" w:eastAsia="fr-FR" w:bidi="ar-SA"/>
        </w:rPr>
        <w:t xml:space="preserve"> </w:t>
      </w:r>
      <w:r w:rsidRPr="001501A4"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  <w:t xml:space="preserve">DES COCIR-VERHALTENSKODEX: </w:t>
      </w:r>
    </w:p>
    <w:p w14:paraId="7877F590" w14:textId="77777777" w:rsidR="00491191" w:rsidRPr="001501A4" w:rsidRDefault="00491191" w:rsidP="00491191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</w:pPr>
      <w:r w:rsidRPr="001501A4">
        <w:rPr>
          <w:rFonts w:ascii="Verdana" w:eastAsia="MS Mincho" w:hAnsi="Verdana"/>
          <w:b/>
          <w:color w:val="00B050"/>
          <w:sz w:val="19"/>
          <w:szCs w:val="19"/>
          <w:lang w:val="de-DE" w:eastAsia="fr-FR" w:bidi="ar-SA"/>
        </w:rPr>
        <w:t>TRENNUNG</w:t>
      </w:r>
      <w:r w:rsidRPr="001501A4">
        <w:rPr>
          <w:rFonts w:ascii="Verdana" w:eastAsia="MS Mincho" w:hAnsi="Verdana"/>
          <w:b/>
          <w:color w:val="92D050"/>
          <w:sz w:val="19"/>
          <w:szCs w:val="19"/>
          <w:lang w:val="de-DE" w:eastAsia="fr-FR" w:bidi="ar-SA"/>
        </w:rPr>
        <w:t xml:space="preserve"> </w:t>
      </w:r>
      <w:r w:rsidRPr="001501A4"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  <w:t xml:space="preserve">VON ZUWENDUNGEN UND BESCHAFFUNGSENTSCHEIDUNGEN </w:t>
      </w:r>
    </w:p>
    <w:p w14:paraId="2D148063" w14:textId="77777777" w:rsidR="00491191" w:rsidRPr="001501A4" w:rsidRDefault="00491191" w:rsidP="00491191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</w:pPr>
      <w:r w:rsidRPr="001501A4">
        <w:rPr>
          <w:rFonts w:ascii="Verdana" w:eastAsia="MS Mincho" w:hAnsi="Verdana"/>
          <w:b/>
          <w:color w:val="00B050"/>
          <w:sz w:val="19"/>
          <w:szCs w:val="19"/>
          <w:lang w:val="de-DE" w:eastAsia="fr-FR" w:bidi="ar-SA"/>
        </w:rPr>
        <w:t>PROPORTIONALITÄT</w:t>
      </w:r>
      <w:r w:rsidRPr="001501A4"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  <w:t xml:space="preserve"> EINER LEISTUNG ZU IHRER BEZAHLUNG  </w:t>
      </w:r>
    </w:p>
    <w:p w14:paraId="068E1F2C" w14:textId="77777777" w:rsidR="00491191" w:rsidRPr="001501A4" w:rsidRDefault="00491191" w:rsidP="005B6435">
      <w:pPr>
        <w:suppressAutoHyphens w:val="0"/>
        <w:autoSpaceDN/>
        <w:spacing w:after="0" w:line="240" w:lineRule="auto"/>
        <w:textAlignment w:val="auto"/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</w:pPr>
      <w:r w:rsidRPr="001501A4">
        <w:rPr>
          <w:rFonts w:ascii="Verdana" w:eastAsia="MS Mincho" w:hAnsi="Verdana"/>
          <w:b/>
          <w:color w:val="00B050"/>
          <w:sz w:val="19"/>
          <w:szCs w:val="19"/>
          <w:lang w:val="de-DE" w:eastAsia="fr-FR" w:bidi="ar-SA"/>
        </w:rPr>
        <w:t>TRANSPARENZ</w:t>
      </w:r>
      <w:r w:rsidRPr="001501A4"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  <w:t xml:space="preserve"> ZUR ZUSAMMENARBEIT MIT ANGEHOERIGEN DES GESUNDHEITSWESENS</w:t>
      </w:r>
    </w:p>
    <w:p w14:paraId="4A5ABC4E" w14:textId="5D6F797C" w:rsidR="004F7BA5" w:rsidRPr="001501A4" w:rsidRDefault="00491191" w:rsidP="00491191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</w:pPr>
      <w:r w:rsidRPr="001501A4">
        <w:rPr>
          <w:rFonts w:ascii="Verdana" w:eastAsia="MS Mincho" w:hAnsi="Verdana"/>
          <w:b/>
          <w:color w:val="00B050"/>
          <w:sz w:val="19"/>
          <w:szCs w:val="19"/>
          <w:lang w:val="de-DE" w:eastAsia="fr-FR" w:bidi="ar-SA"/>
        </w:rPr>
        <w:t>DOKUMENTATION</w:t>
      </w:r>
      <w:r w:rsidRPr="001501A4">
        <w:rPr>
          <w:rFonts w:ascii="Verdana" w:eastAsia="MS Mincho" w:hAnsi="Verdana"/>
          <w:color w:val="92D050"/>
          <w:sz w:val="19"/>
          <w:szCs w:val="19"/>
          <w:lang w:val="de-DE" w:eastAsia="fr-FR" w:bidi="ar-SA"/>
        </w:rPr>
        <w:t xml:space="preserve"> VON ZUWENDUNGEN</w:t>
      </w:r>
    </w:p>
    <w:p w14:paraId="18947113" w14:textId="77777777" w:rsidR="00491191" w:rsidRPr="001501A4" w:rsidRDefault="00491191" w:rsidP="00491191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MS Mincho" w:hAnsi="Verdana"/>
          <w:b/>
          <w:sz w:val="20"/>
          <w:szCs w:val="20"/>
          <w:lang w:val="de-DE" w:eastAsia="fr-FR" w:bidi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8"/>
        <w:gridCol w:w="4724"/>
      </w:tblGrid>
      <w:tr w:rsidR="00C26F21" w:rsidRPr="001501A4" w14:paraId="6190BA1F" w14:textId="77777777" w:rsidTr="005B6435">
        <w:trPr>
          <w:trHeight w:val="679"/>
        </w:trPr>
        <w:tc>
          <w:tcPr>
            <w:tcW w:w="431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442D" w14:textId="05626FAA" w:rsidR="00C26F21" w:rsidRPr="001501A4" w:rsidRDefault="00C26F21" w:rsidP="00C26F21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lang w:val="de-DE"/>
              </w:rPr>
              <w:t>BESPRECHUNGEN, BEWIRTUNG UND KONFERENZEN</w:t>
            </w:r>
          </w:p>
        </w:tc>
        <w:tc>
          <w:tcPr>
            <w:tcW w:w="4724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619D" w14:textId="2C626DF4" w:rsidR="00C26F21" w:rsidRPr="001501A4" w:rsidRDefault="00C26F21" w:rsidP="00C26F21">
            <w:pPr>
              <w:pStyle w:val="Titre1"/>
              <w:framePr w:hSpace="0" w:wrap="auto" w:vAnchor="margin" w:yAlign="inline"/>
              <w:suppressOverlap w:val="0"/>
              <w:rPr>
                <w:lang w:val="de-DE"/>
              </w:rPr>
            </w:pPr>
            <w:r w:rsidRPr="001501A4">
              <w:rPr>
                <w:lang w:val="de-DE"/>
              </w:rPr>
              <w:t>ÖFFENTLICHE AUFTRAGSVERGABE</w:t>
            </w:r>
          </w:p>
        </w:tc>
      </w:tr>
      <w:tr w:rsidR="009C06A9" w:rsidRPr="001501A4" w14:paraId="34596D6B" w14:textId="77777777" w:rsidTr="005B6435">
        <w:trPr>
          <w:trHeight w:val="1107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1B4B" w14:textId="5720EF06" w:rsidR="009C06A9" w:rsidRPr="001501A4" w:rsidRDefault="00E97BAB" w:rsidP="009C06A9">
            <w:pPr>
              <w:spacing w:after="0" w:line="240" w:lineRule="auto"/>
              <w:rPr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Sicherstellen, dass es einen triftigen Grund für die Besprechung gibt und der Ort dem Anlass angemessen ist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D287" w14:textId="257E9AAA" w:rsidR="009C06A9" w:rsidRPr="001501A4" w:rsidRDefault="00DF0F02" w:rsidP="009C06A9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Öffentliche Auftraggeber ohne äußere Einflussnahme offene und objektive technische Spezifikationen formulieren lassen</w:t>
            </w:r>
          </w:p>
        </w:tc>
      </w:tr>
      <w:tr w:rsidR="00D90F1F" w:rsidRPr="001501A4" w14:paraId="0ECB6A28" w14:textId="77777777" w:rsidTr="005B6435">
        <w:trPr>
          <w:trHeight w:val="5630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F7AF" w14:textId="77777777" w:rsidR="00D90F1F" w:rsidRPr="001501A4" w:rsidRDefault="00D90F1F" w:rsidP="005B6435">
            <w:pPr>
              <w:rPr>
                <w:rFonts w:ascii="Verdana" w:hAnsi="Verdana"/>
                <w:sz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Übernahme von angemessenen Reise- und Unterkunftskosten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fuer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 nur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fuer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Aus-/Fortbildungskonferenzen, die durch Mitglieder organisiert und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durchgefuehrt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werden.</w:t>
            </w:r>
          </w:p>
          <w:p w14:paraId="559AE8CA" w14:textId="34606248" w:rsidR="00D90F1F" w:rsidRPr="001501A4" w:rsidRDefault="00D90F1F" w:rsidP="005B643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koennen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im Hinblick auf von Dritten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durchgefuehrte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Konferenzen nur finanziell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unterstuetzt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werden, wenn es sich (1) bei diesen Konferenzen um eine praktische Demonstration oder Schulung in klinischer Umgebung handelt, oder (2) der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 als Referent oder professioneller Trainer an einem von einem Mitglied organisierten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Satellite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Symposium als Bestandteil einer von Dritten organisierten Konferenz teilnehmen soll.  </w:t>
            </w: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Reimburse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reasonable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travel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and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lodging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expensesto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individual HCPs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only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for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educational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and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scientific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conferences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organised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by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Members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7828" w14:textId="70A73AB2" w:rsidR="00D90F1F" w:rsidRPr="001501A4" w:rsidRDefault="00D90F1F" w:rsidP="005B643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Ankerkennen, dass öffentliche Auftraggeber nur eingeschränkte Möglichkeiten haben, sich selbst von den Schritten der öffentlichen Ausschreibung auszunehmen</w:t>
            </w:r>
          </w:p>
        </w:tc>
      </w:tr>
      <w:tr w:rsidR="006B6DCB" w:rsidRPr="001501A4" w14:paraId="107FA4A1" w14:textId="77777777" w:rsidTr="005B6435">
        <w:trPr>
          <w:trHeight w:val="1112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28EB" w14:textId="5A83B6FF" w:rsidR="006B6DCB" w:rsidRPr="001501A4" w:rsidRDefault="006B6DCB" w:rsidP="005B643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Sicherstellen, dass sich der Unterhaltungsanteil einer Veranstaltung dem fachlichen Fokus zeitlich wie auch inhaltlich deutlich unterordnet</w:t>
            </w:r>
            <w:r w:rsidR="006B6C89" w:rsidRPr="001501A4" w:rsidDel="00672EA8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958B" w14:textId="2DF5A067" w:rsidR="006B6DCB" w:rsidRPr="001501A4" w:rsidRDefault="00FD2452" w:rsidP="006B6DCB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In der Funktion als unabhängiger Berater für einen öffentlichen Auftraggeber den Grundsatz der Gleichbehandlung der Bieter respektieren</w:t>
            </w:r>
          </w:p>
        </w:tc>
      </w:tr>
      <w:tr w:rsidR="0020172F" w:rsidRPr="001501A4" w14:paraId="169EE4B5" w14:textId="77777777" w:rsidTr="005B6435">
        <w:trPr>
          <w:trHeight w:val="1245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71A2" w14:textId="710EBE99" w:rsidR="0020172F" w:rsidRPr="001501A4" w:rsidRDefault="0020172F" w:rsidP="005B643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Beschränkung von Besprechungen und entsprechender Bewirtungen ausschließlich auf Personen mit beruflichem Interesse an der Besprechung</w:t>
            </w: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0FB7" w14:textId="5DB2EE17" w:rsidR="0020172F" w:rsidRPr="001501A4" w:rsidRDefault="0020172F" w:rsidP="005B643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Anerkennen, dass öffentliche Auftraggeber eingeschränkte Möglichkeiten haben, Änderungen an Ausschreibungsdokumenten oder dem Leistungsumfang vorzunehmen</w:t>
            </w:r>
          </w:p>
        </w:tc>
      </w:tr>
      <w:tr w:rsidR="00FC6014" w:rsidRPr="001501A4" w14:paraId="30CB2363" w14:textId="77777777" w:rsidTr="005B6435">
        <w:trPr>
          <w:trHeight w:val="1528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A5BB" w14:textId="1863CAE0" w:rsidR="00FC6014" w:rsidRPr="001501A4" w:rsidRDefault="00FC6014" w:rsidP="005B643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Zahlung finanzieller Zuwendungen für wissenschaftliche Veranstaltungen und Fortbildungsmaßnahmen ausschließlich an den Veranstalter und transparente Dokumentation der Leistungen</w:t>
            </w:r>
          </w:p>
        </w:tc>
        <w:tc>
          <w:tcPr>
            <w:tcW w:w="472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D6B2" w14:textId="77777777" w:rsidR="00FC6014" w:rsidRPr="001501A4" w:rsidRDefault="00FC6014" w:rsidP="00FC6014">
            <w:pPr>
              <w:spacing w:after="0" w:line="240" w:lineRule="auto"/>
              <w:rPr>
                <w:lang w:val="de-DE"/>
              </w:rPr>
            </w:pPr>
          </w:p>
        </w:tc>
      </w:tr>
      <w:tr w:rsidR="0026422F" w:rsidRPr="001501A4" w14:paraId="683AE092" w14:textId="77777777" w:rsidTr="005B6435">
        <w:trPr>
          <w:trHeight w:val="477"/>
        </w:trPr>
        <w:tc>
          <w:tcPr>
            <w:tcW w:w="431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53B2" w14:textId="476AA102" w:rsidR="0026422F" w:rsidRPr="001501A4" w:rsidRDefault="0026422F" w:rsidP="0026422F">
            <w:pPr>
              <w:spacing w:after="0" w:line="240" w:lineRule="auto"/>
              <w:jc w:val="center"/>
              <w:rPr>
                <w:color w:val="00B050"/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lang w:val="de-DE"/>
              </w:rPr>
              <w:lastRenderedPageBreak/>
              <w:t>BERATUNGS- UND FORSCHUNGSVERTRÄGE</w:t>
            </w:r>
            <w:r w:rsidRPr="001501A4" w:rsidDel="004D284B"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724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BF7C" w14:textId="60AF94F4" w:rsidR="0026422F" w:rsidRPr="001501A4" w:rsidRDefault="0013340D" w:rsidP="0026422F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  <w:t>UNABHÄNGIGE DRITTE</w:t>
            </w:r>
          </w:p>
        </w:tc>
      </w:tr>
      <w:tr w:rsidR="008357A3" w:rsidRPr="001501A4" w14:paraId="6A197EAA" w14:textId="77777777" w:rsidTr="005B6435">
        <w:trPr>
          <w:trHeight w:val="1440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29DD" w14:textId="4AF23C91" w:rsidR="008357A3" w:rsidRPr="001501A4" w:rsidRDefault="00271A75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Sicherstellen, dass ein legitimer Bedarf für die vertraglichen Leistungen bestehen, basierend auf den Qualifikationen und Erfahrungen des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E18C" w14:textId="0AC69DE5" w:rsidR="008357A3" w:rsidRPr="001501A4" w:rsidRDefault="00EE66AE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Unabhängige Dritte auswählen, die integer handeln und Gesetze einhalten</w:t>
            </w:r>
          </w:p>
        </w:tc>
      </w:tr>
      <w:tr w:rsidR="008357A3" w:rsidRPr="001501A4" w14:paraId="175258AC" w14:textId="77777777" w:rsidTr="005B6435">
        <w:trPr>
          <w:trHeight w:val="964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328C" w14:textId="00A42220" w:rsidR="008357A3" w:rsidRPr="001501A4" w:rsidRDefault="00B7359A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proofErr w:type="gramStart"/>
            <w:r w:rsidRPr="001501A4">
              <w:rPr>
                <w:rFonts w:ascii="Verdana" w:hAnsi="Verdana"/>
                <w:sz w:val="18"/>
                <w:lang w:val="de-DE"/>
              </w:rPr>
              <w:t>Spezifizieren</w:t>
            </w:r>
            <w:proofErr w:type="gramEnd"/>
            <w:r w:rsidRPr="001501A4">
              <w:rPr>
                <w:rFonts w:ascii="Verdana" w:hAnsi="Verdana"/>
                <w:sz w:val="18"/>
                <w:lang w:val="de-DE"/>
              </w:rPr>
              <w:t xml:space="preserve"> der zu erbringenden Leistungen in einem zu unterzeichnenden Vertrag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0930" w14:textId="33BDE77D" w:rsidR="008357A3" w:rsidRPr="001501A4" w:rsidRDefault="0068649F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Sorgfältige Prüfung der vorgeschlagenen unabhängigen Dritten durchführen</w:t>
            </w:r>
          </w:p>
        </w:tc>
      </w:tr>
      <w:tr w:rsidR="008357A3" w:rsidRPr="001501A4" w14:paraId="09685BB3" w14:textId="77777777" w:rsidTr="005B6435">
        <w:trPr>
          <w:trHeight w:val="1245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76FB" w14:textId="1766734A" w:rsidR="008357A3" w:rsidRPr="001501A4" w:rsidRDefault="00DC0E51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Zustimmung der medizinischen Einrichtung des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Agehoerigen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im Gesundheitswesen dokumentieren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535F" w14:textId="5061AACC" w:rsidR="008357A3" w:rsidRPr="001501A4" w:rsidRDefault="00B041F3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Unabhängige Dritte vertraglich verpflichten, die Gesetze zur Bekämpfung von Bestechung sowie den COCIR-Kodex einzuhalten</w:t>
            </w:r>
          </w:p>
        </w:tc>
      </w:tr>
      <w:tr w:rsidR="008357A3" w:rsidRPr="001501A4" w14:paraId="760DA07A" w14:textId="77777777" w:rsidTr="005B6435">
        <w:trPr>
          <w:trHeight w:val="826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A2FF" w14:textId="4DE22C30" w:rsidR="008357A3" w:rsidRPr="001501A4" w:rsidRDefault="005A54DC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Dem Berater eine marktgerechte Vergütung zahlen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B042" w14:textId="78C607F3" w:rsidR="008357A3" w:rsidRPr="001501A4" w:rsidRDefault="00101CF4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Unabhängige Dritte überwachen und kontrollieren</w:t>
            </w:r>
          </w:p>
        </w:tc>
      </w:tr>
      <w:tr w:rsidR="008C735C" w:rsidRPr="001501A4" w14:paraId="18702498" w14:textId="77777777" w:rsidTr="005B6435">
        <w:trPr>
          <w:trHeight w:val="579"/>
        </w:trPr>
        <w:tc>
          <w:tcPr>
            <w:tcW w:w="431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539F" w14:textId="602BDF4D" w:rsidR="008C735C" w:rsidRPr="001501A4" w:rsidRDefault="008C735C" w:rsidP="00816C64">
            <w:pPr>
              <w:spacing w:after="0" w:line="240" w:lineRule="auto"/>
              <w:jc w:val="center"/>
              <w:rPr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  <w:t xml:space="preserve">VORFÜHR- UND TESTGERÄTE  </w:t>
            </w:r>
          </w:p>
        </w:tc>
        <w:tc>
          <w:tcPr>
            <w:tcW w:w="4724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B26F" w14:textId="77777777" w:rsidR="008C735C" w:rsidRPr="001501A4" w:rsidRDefault="008C735C" w:rsidP="009C06A9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158A362A" w14:textId="77777777" w:rsidTr="005B6435">
        <w:trPr>
          <w:trHeight w:val="1016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8DA6" w14:textId="0E2267B7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Test- und Vorführgeräte nur für eine angemessene Leihfrist anbieten, normalerweise maximal 6 Monate</w:t>
            </w:r>
          </w:p>
        </w:tc>
        <w:tc>
          <w:tcPr>
            <w:tcW w:w="4724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D626" w14:textId="77777777" w:rsidR="008C735C" w:rsidRPr="001501A4" w:rsidRDefault="008C735C" w:rsidP="00816C64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60E71F2D" w14:textId="77777777" w:rsidTr="005B6435">
        <w:trPr>
          <w:trHeight w:val="926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B23C" w14:textId="58F189AE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Zustimmung der medizinischen Einrichtung des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 einholen</w:t>
            </w:r>
          </w:p>
        </w:tc>
        <w:tc>
          <w:tcPr>
            <w:tcW w:w="4724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A4DB" w14:textId="77777777" w:rsidR="008C735C" w:rsidRPr="001501A4" w:rsidRDefault="008C735C" w:rsidP="00816C64">
            <w:pPr>
              <w:spacing w:after="0" w:line="240" w:lineRule="auto"/>
              <w:rPr>
                <w:lang w:val="de-DE"/>
              </w:rPr>
            </w:pPr>
          </w:p>
        </w:tc>
      </w:tr>
      <w:tr w:rsidR="009C06A9" w:rsidRPr="001501A4" w14:paraId="631C7167" w14:textId="77777777" w:rsidTr="008C735C">
        <w:trPr>
          <w:trHeight w:val="539"/>
        </w:trPr>
        <w:tc>
          <w:tcPr>
            <w:tcW w:w="431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F557" w14:textId="453BCCE0" w:rsidR="009C06A9" w:rsidRPr="001501A4" w:rsidRDefault="0018201E" w:rsidP="009C06A9">
            <w:pPr>
              <w:spacing w:after="0" w:line="240" w:lineRule="auto"/>
              <w:jc w:val="center"/>
              <w:rPr>
                <w:color w:val="00B050"/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  <w:t>GESCHENKE UND WOHLTÄTIGE SPENDEN</w:t>
            </w:r>
          </w:p>
        </w:tc>
        <w:tc>
          <w:tcPr>
            <w:tcW w:w="4724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C4FA" w14:textId="222F8019" w:rsidR="009C06A9" w:rsidRPr="001501A4" w:rsidRDefault="007B5AAD" w:rsidP="009C06A9">
            <w:pPr>
              <w:spacing w:after="0" w:line="240" w:lineRule="auto"/>
              <w:jc w:val="center"/>
              <w:rPr>
                <w:color w:val="00B050"/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  <w:t>AUSBILDUNGSFÖRDERUNGEN</w:t>
            </w:r>
          </w:p>
        </w:tc>
      </w:tr>
      <w:tr w:rsidR="008357A3" w:rsidRPr="001501A4" w14:paraId="010E56CB" w14:textId="77777777" w:rsidTr="005B6435">
        <w:trPr>
          <w:trHeight w:val="1323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5A4D" w14:textId="135206F1" w:rsidR="008357A3" w:rsidRPr="001501A4" w:rsidRDefault="000D5C07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Von Geschenken abraten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2CAA" w14:textId="6FC11469" w:rsidR="008357A3" w:rsidRPr="001501A4" w:rsidRDefault="000F2550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Förderungen nur gewähren, um echte medizinische, klinische oder technische Bildung voranzutreiben oder Patienten/die Öffentlichkeit über wichtige Gesundheitsthemen aufzuklären</w:t>
            </w:r>
          </w:p>
        </w:tc>
      </w:tr>
      <w:tr w:rsidR="008357A3" w:rsidRPr="001501A4" w14:paraId="0D5D708F" w14:textId="77777777" w:rsidTr="005B6435">
        <w:trPr>
          <w:trHeight w:val="1878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65D7" w14:textId="5D38E78B" w:rsidR="008357A3" w:rsidRPr="001501A4" w:rsidRDefault="009B1C90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Nur gelegentliche Geschenke von symbolischem Wert gewähren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B681" w14:textId="1D34F527" w:rsidR="008357A3" w:rsidRPr="001501A4" w:rsidRDefault="009029B3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Empfaenger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der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Ausbildungsfoerderung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sind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unabhaengig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(i)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fuer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den Programminhalt, Referenten, Ausbildungsmethoden, Material, Stipendien sowie (ii) die Auswahl von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Gesundheitswesens, die von der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Ausbildungsfoerderung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profitieren sollen,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zustaendig</w:t>
            </w:r>
            <w:proofErr w:type="spellEnd"/>
          </w:p>
        </w:tc>
      </w:tr>
      <w:tr w:rsidR="008357A3" w:rsidRPr="001501A4" w14:paraId="468F7916" w14:textId="77777777" w:rsidTr="005B6435">
        <w:trPr>
          <w:trHeight w:val="1057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D937" w14:textId="13AD8E38" w:rsidR="008357A3" w:rsidRPr="001501A4" w:rsidRDefault="00D50D19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Spenden ausschließlich an gemeinnützige Organisationen und für gemeinnützige Zwecke leisten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06D3" w14:textId="0435C4E7" w:rsidR="008357A3" w:rsidRPr="001501A4" w:rsidRDefault="00FC7E8F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Sicherstellen, dass Förderungen nicht an vergangene, gegenwärtige oder zukünftige Verkäufe gekoppelt sind</w:t>
            </w:r>
          </w:p>
        </w:tc>
      </w:tr>
      <w:tr w:rsidR="009C06A9" w:rsidRPr="001501A4" w14:paraId="4442112F" w14:textId="77777777" w:rsidTr="005B6435">
        <w:trPr>
          <w:trHeight w:val="1202"/>
        </w:trPr>
        <w:tc>
          <w:tcPr>
            <w:tcW w:w="4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0FD2" w14:textId="6D5FB145" w:rsidR="009C06A9" w:rsidRPr="001501A4" w:rsidRDefault="008B63EE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Intern abklären, dass Spenden nicht im Zusammenhang zu vergangenen, gegenwärtigen oder zukünftigen Geschäftstransaktionen stehen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A20F" w14:textId="7BCF7977" w:rsidR="009C06A9" w:rsidRPr="001501A4" w:rsidRDefault="008C1985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Sicherstellen, dass Anfragen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fuer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Foerderungen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unabhaengig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von kommerziellen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Aktvitaeten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evaluiert und dokumentiert werden</w:t>
            </w:r>
          </w:p>
        </w:tc>
      </w:tr>
      <w:tr w:rsidR="008C735C" w:rsidRPr="001501A4" w14:paraId="3004A0BB" w14:textId="77777777" w:rsidTr="005B6435">
        <w:trPr>
          <w:trHeight w:val="398"/>
        </w:trPr>
        <w:tc>
          <w:tcPr>
            <w:tcW w:w="4318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1C1B" w14:textId="77777777" w:rsidR="008C735C" w:rsidRPr="001501A4" w:rsidRDefault="008C735C" w:rsidP="009C06A9">
            <w:pPr>
              <w:spacing w:after="0" w:line="240" w:lineRule="auto"/>
              <w:rPr>
                <w:rFonts w:ascii="Verdana" w:hAnsi="Verdana"/>
                <w:color w:val="00B050"/>
                <w:sz w:val="18"/>
                <w:szCs w:val="18"/>
                <w:lang w:val="de-DE"/>
              </w:rPr>
            </w:pPr>
          </w:p>
        </w:tc>
        <w:tc>
          <w:tcPr>
            <w:tcW w:w="4724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FE17" w14:textId="6173CDF4" w:rsidR="008C735C" w:rsidRPr="001501A4" w:rsidRDefault="008C735C" w:rsidP="007F0C0E">
            <w:pPr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b/>
                <w:color w:val="00B050"/>
                <w:sz w:val="18"/>
                <w:szCs w:val="18"/>
                <w:lang w:val="de-DE"/>
              </w:rPr>
              <w:t>SPONSORING</w:t>
            </w:r>
          </w:p>
        </w:tc>
      </w:tr>
      <w:tr w:rsidR="008C735C" w:rsidRPr="001501A4" w14:paraId="1DCC57CE" w14:textId="77777777" w:rsidTr="005B6435">
        <w:trPr>
          <w:trHeight w:val="1099"/>
        </w:trPr>
        <w:tc>
          <w:tcPr>
            <w:tcW w:w="4318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00D2" w14:textId="77777777" w:rsidR="008C735C" w:rsidRPr="001501A4" w:rsidRDefault="008C735C" w:rsidP="009C06A9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5ECB" w14:textId="32B0F012" w:rsidR="008C735C" w:rsidRPr="001501A4" w:rsidRDefault="008C735C" w:rsidP="007F0C0E">
            <w:pPr>
              <w:spacing w:after="0" w:line="240" w:lineRule="auto"/>
              <w:rPr>
                <w:lang w:val="de-DE"/>
              </w:rPr>
            </w:pP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Gewaehre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Foedergelder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fuer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von Dritten organisierte Konferenzen oder professionelle Schulungen an professionelle Konferenzorganisationen/-organisatoren</w:t>
            </w:r>
          </w:p>
        </w:tc>
      </w:tr>
      <w:tr w:rsidR="008C735C" w:rsidRPr="001501A4" w14:paraId="6D27CFFF" w14:textId="77777777" w:rsidTr="005B6435">
        <w:trPr>
          <w:trHeight w:val="1992"/>
        </w:trPr>
        <w:tc>
          <w:tcPr>
            <w:tcW w:w="4318" w:type="dxa"/>
            <w:vMerge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4D4E" w14:textId="77777777" w:rsidR="008C735C" w:rsidRPr="001501A4" w:rsidRDefault="008C735C" w:rsidP="009C06A9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9084" w14:textId="38A37515" w:rsidR="008C735C" w:rsidRPr="001501A4" w:rsidRDefault="008C735C" w:rsidP="007F0C0E">
            <w:pPr>
              <w:spacing w:after="0" w:line="240" w:lineRule="auto"/>
              <w:rPr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Professionelle Konferenzorganisatoren sind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unabhaengig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(i)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fuer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den Programminhalt,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Refernten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, Ausbildungsmethoden, Material, Stipendien sowie (ii) die Auswahl von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des Gesundheitswesens, die von den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Foerdergeldern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profitieren sollen,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zustaendig</w:t>
            </w:r>
            <w:proofErr w:type="spellEnd"/>
          </w:p>
        </w:tc>
      </w:tr>
    </w:tbl>
    <w:p w14:paraId="2B6364BF" w14:textId="74321124" w:rsidR="00290310" w:rsidRPr="001501A4" w:rsidRDefault="008B3F3D">
      <w:pPr>
        <w:rPr>
          <w:lang w:val="de-DE"/>
        </w:rPr>
      </w:pPr>
      <w:r w:rsidRPr="001501A4">
        <w:rPr>
          <w:lang w:val="de-DE"/>
        </w:rPr>
        <w:br w:type="textWrapping" w:clear="all"/>
      </w:r>
    </w:p>
    <w:p w14:paraId="1F1CB7A6" w14:textId="77777777" w:rsidR="00290310" w:rsidRPr="001501A4" w:rsidRDefault="00290310">
      <w:pPr>
        <w:rPr>
          <w:lang w:val="de-DE"/>
        </w:rPr>
      </w:pPr>
    </w:p>
    <w:p w14:paraId="2BBE20FD" w14:textId="77777777" w:rsidR="00290310" w:rsidRPr="001501A4" w:rsidRDefault="00290310">
      <w:pPr>
        <w:rPr>
          <w:lang w:val="de-DE"/>
        </w:rPr>
      </w:pPr>
    </w:p>
    <w:p w14:paraId="380460E7" w14:textId="77777777" w:rsidR="00290310" w:rsidRPr="001501A4" w:rsidRDefault="00290310">
      <w:pPr>
        <w:rPr>
          <w:lang w:val="de-DE"/>
        </w:rPr>
      </w:pPr>
    </w:p>
    <w:p w14:paraId="1B065357" w14:textId="566E9059" w:rsidR="008B3F3D" w:rsidRPr="001501A4" w:rsidRDefault="008B3F3D">
      <w:pPr>
        <w:suppressAutoHyphens w:val="0"/>
        <w:rPr>
          <w:lang w:val="de-DE"/>
        </w:rPr>
      </w:pPr>
      <w:r w:rsidRPr="001501A4">
        <w:rPr>
          <w:lang w:val="de-DE"/>
        </w:rPr>
        <w:br w:type="page"/>
      </w:r>
    </w:p>
    <w:p w14:paraId="59C86A12" w14:textId="50752913" w:rsidR="00920FA9" w:rsidRPr="001501A4" w:rsidRDefault="00920FA9" w:rsidP="007D03D0">
      <w:pPr>
        <w:shd w:val="clear" w:color="auto" w:fill="FFFFFF"/>
        <w:spacing w:line="252" w:lineRule="auto"/>
        <w:jc w:val="center"/>
        <w:rPr>
          <w:rFonts w:ascii="Verdana" w:hAnsi="Verdana"/>
          <w:b/>
          <w:color w:val="FF0000"/>
          <w:sz w:val="36"/>
          <w:szCs w:val="36"/>
          <w:lang w:val="de-DE"/>
        </w:rPr>
      </w:pPr>
      <w:r w:rsidRPr="001501A4">
        <w:rPr>
          <w:rFonts w:ascii="Verdana" w:hAnsi="Verdana"/>
          <w:b/>
          <w:color w:val="FF0000"/>
          <w:sz w:val="36"/>
          <w:szCs w:val="36"/>
          <w:lang w:val="de-DE"/>
        </w:rPr>
        <w:lastRenderedPageBreak/>
        <w:t>VERBOTE</w:t>
      </w:r>
    </w:p>
    <w:p w14:paraId="3C2CB221" w14:textId="0F3F053A" w:rsidR="00290310" w:rsidRPr="001501A4" w:rsidRDefault="00D26B3E" w:rsidP="00F96605">
      <w:pPr>
        <w:shd w:val="clear" w:color="auto" w:fill="FFFFFF"/>
        <w:rPr>
          <w:lang w:val="de-DE"/>
        </w:rPr>
      </w:pPr>
      <w:r w:rsidRPr="001501A4">
        <w:rPr>
          <w:rFonts w:ascii="Verdana" w:hAnsi="Verdana"/>
          <w:b/>
          <w:color w:val="FF0000"/>
          <w:sz w:val="18"/>
          <w:szCs w:val="18"/>
          <w:lang w:val="de-DE"/>
        </w:rPr>
        <w:t>VERSTOESSE</w:t>
      </w:r>
      <w:r w:rsidRPr="001501A4">
        <w:rPr>
          <w:rFonts w:ascii="Verdana" w:hAnsi="Verdana"/>
          <w:color w:val="FF0000"/>
          <w:sz w:val="18"/>
          <w:szCs w:val="18"/>
          <w:lang w:val="de-DE"/>
        </w:rPr>
        <w:t xml:space="preserve"> GEGEN DIE </w:t>
      </w:r>
      <w:r w:rsidRPr="001501A4">
        <w:rPr>
          <w:rFonts w:ascii="Verdana" w:hAnsi="Verdana"/>
          <w:b/>
          <w:color w:val="FF0000"/>
          <w:sz w:val="18"/>
          <w:szCs w:val="18"/>
          <w:lang w:val="de-DE"/>
        </w:rPr>
        <w:t>4 PRINZIPEN</w:t>
      </w:r>
      <w:r w:rsidRPr="001501A4">
        <w:rPr>
          <w:rFonts w:ascii="Verdana" w:hAnsi="Verdana"/>
          <w:color w:val="FF0000"/>
          <w:sz w:val="18"/>
          <w:szCs w:val="18"/>
          <w:lang w:val="de-DE"/>
        </w:rPr>
        <w:t xml:space="preserve"> DES COCIR KODEX</w:t>
      </w:r>
    </w:p>
    <w:tbl>
      <w:tblPr>
        <w:tblW w:w="906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4724"/>
      </w:tblGrid>
      <w:tr w:rsidR="00290310" w:rsidRPr="001501A4" w14:paraId="763A0081" w14:textId="77777777" w:rsidTr="008C735C">
        <w:trPr>
          <w:trHeight w:val="519"/>
        </w:trPr>
        <w:tc>
          <w:tcPr>
            <w:tcW w:w="4338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820B" w14:textId="404EECC5" w:rsidR="00290310" w:rsidRPr="001501A4" w:rsidRDefault="00E36C84" w:rsidP="0092080C">
            <w:pPr>
              <w:spacing w:after="0" w:line="240" w:lineRule="auto"/>
              <w:jc w:val="center"/>
              <w:rPr>
                <w:color w:val="C00000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GESCHENKE UND WOHLTÄTIGE SPENDEN</w:t>
            </w:r>
          </w:p>
        </w:tc>
        <w:tc>
          <w:tcPr>
            <w:tcW w:w="4724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A29C" w14:textId="2EDE2A9E" w:rsidR="00290310" w:rsidRPr="001501A4" w:rsidRDefault="00897C70" w:rsidP="0092080C">
            <w:pPr>
              <w:spacing w:after="0" w:line="240" w:lineRule="auto"/>
              <w:jc w:val="center"/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BERATUNGS- UND FORSCHUNGSVERTRÄGE</w:t>
            </w:r>
          </w:p>
        </w:tc>
      </w:tr>
      <w:tr w:rsidR="00F96605" w:rsidRPr="001501A4" w14:paraId="20BA33E5" w14:textId="77777777" w:rsidTr="005B6435">
        <w:trPr>
          <w:trHeight w:val="1235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39CB" w14:textId="1C15BC34" w:rsidR="00F96605" w:rsidRPr="001501A4" w:rsidRDefault="00CB6BE1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HCPs mit zahlreichen bzw. aufwendigen Geschenken bedenken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EDFF" w14:textId="08E1D157" w:rsidR="00F96605" w:rsidRPr="001501A4" w:rsidRDefault="00FB5C1B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HCPs ohne gerechtfertigten Bedarf, ohne Berücksichtigung ihrer Fähigkeiten und ohne Beurteilung des wissenschaftlichen Beitrags engagieren</w:t>
            </w:r>
          </w:p>
        </w:tc>
      </w:tr>
      <w:tr w:rsidR="00F96605" w:rsidRPr="001501A4" w14:paraId="1C34E72C" w14:textId="77777777" w:rsidTr="008C735C">
        <w:trPr>
          <w:trHeight w:val="1235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8D05" w14:textId="5A289DCB" w:rsidR="00F96605" w:rsidRPr="001501A4" w:rsidRDefault="00B068D8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Gewähren von Bargeld oder Zahlungsmitteln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FAE77" w14:textId="4EE2C24B" w:rsidR="00F96605" w:rsidRPr="001501A4" w:rsidRDefault="00431D88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Verbindung zwischen Forschungsfinanzierung und Umsatzgeschäften der Mitglieder (außer das Produkt dient dem Forschungsauftrag oder wird durch eine Ausschreibung abgedeckt)</w:t>
            </w:r>
          </w:p>
        </w:tc>
      </w:tr>
      <w:tr w:rsidR="00F96605" w:rsidRPr="001501A4" w14:paraId="385A8AA1" w14:textId="77777777" w:rsidTr="005B6435">
        <w:trPr>
          <w:trHeight w:val="845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3197" w14:textId="1E0BA454" w:rsidR="00F96605" w:rsidRPr="001501A4" w:rsidRDefault="005A18B7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Spenden zu nicht gemeinnützigen Zwecken oder an nicht gemeinnützige Institutionen leisten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46F2" w14:textId="3FABF9DD" w:rsidR="00F96605" w:rsidRPr="001501A4" w:rsidRDefault="00EB3CA7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Unspezifizierte Ergebnisse und Termine vereinbaren</w:t>
            </w:r>
          </w:p>
        </w:tc>
      </w:tr>
      <w:tr w:rsidR="00F96605" w:rsidRPr="001501A4" w14:paraId="37BB0B54" w14:textId="77777777" w:rsidTr="005B6435">
        <w:trPr>
          <w:trHeight w:val="957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1EBB" w14:textId="0B7E3EA2" w:rsidR="00F96605" w:rsidRPr="001501A4" w:rsidRDefault="00D30CB2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Spenden, um ein Geschäft oder eine Beschaffungsentscheidung zu beeinflussen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900E" w14:textId="05358CFE" w:rsidR="00F96605" w:rsidRPr="001501A4" w:rsidRDefault="00115714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 xml:space="preserve">Die Vereinbarung gegenüber der Einrichtung des </w:t>
            </w:r>
            <w:proofErr w:type="spellStart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 xml:space="preserve"> des Gesundheitswesens verschleiern</w:t>
            </w:r>
          </w:p>
        </w:tc>
      </w:tr>
      <w:tr w:rsidR="00F96605" w:rsidRPr="001501A4" w14:paraId="72B7B412" w14:textId="77777777" w:rsidTr="005B6435">
        <w:trPr>
          <w:trHeight w:val="970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6FBC" w14:textId="726EB254" w:rsidR="00F96605" w:rsidRPr="001501A4" w:rsidRDefault="008F76B3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Die Spende gegenüber der Einrichtung des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 verschleiern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3E16" w14:textId="1BBC3A5A" w:rsidR="00F96605" w:rsidRPr="001501A4" w:rsidRDefault="00FD3FB0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Vergütungen zusagen, die nicht den marktüblichen Werten entsprechen</w:t>
            </w:r>
          </w:p>
        </w:tc>
      </w:tr>
      <w:tr w:rsidR="00290310" w:rsidRPr="001501A4" w14:paraId="195B7511" w14:textId="77777777" w:rsidTr="008C735C">
        <w:trPr>
          <w:trHeight w:val="599"/>
        </w:trPr>
        <w:tc>
          <w:tcPr>
            <w:tcW w:w="4338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0DD4" w14:textId="1F174FA9" w:rsidR="00290310" w:rsidRPr="001501A4" w:rsidRDefault="005E14AD" w:rsidP="0092080C">
            <w:pPr>
              <w:spacing w:after="0" w:line="240" w:lineRule="auto"/>
              <w:jc w:val="center"/>
              <w:rPr>
                <w:color w:val="C00000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VORFÜHR- UND TESTGERÄTE</w:t>
            </w:r>
          </w:p>
        </w:tc>
        <w:tc>
          <w:tcPr>
            <w:tcW w:w="4724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3816" w14:textId="5C57CC60" w:rsidR="00290310" w:rsidRPr="001501A4" w:rsidRDefault="007B405A" w:rsidP="0092080C">
            <w:pPr>
              <w:spacing w:after="0" w:line="240" w:lineRule="auto"/>
              <w:jc w:val="center"/>
              <w:rPr>
                <w:color w:val="C00000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ÖFFENTLICHE AUFTRAGSVERGABE</w:t>
            </w:r>
          </w:p>
        </w:tc>
      </w:tr>
      <w:tr w:rsidR="00F96605" w:rsidRPr="001501A4" w14:paraId="7FF37108" w14:textId="77777777" w:rsidTr="005B6435">
        <w:trPr>
          <w:trHeight w:val="895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D52E" w14:textId="2F4871BE" w:rsidR="00F96605" w:rsidRPr="001501A4" w:rsidRDefault="00BE15E7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Geräte ohne ordentlichen Grund oder für einen Zeitraum verleihen, der 6 Monate übersteigt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34E7" w14:textId="09404AF6" w:rsidR="00F96605" w:rsidRPr="001501A4" w:rsidRDefault="00225AC3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Übermäßige Beeinflussung der technischen Spezifikationen</w:t>
            </w:r>
          </w:p>
        </w:tc>
      </w:tr>
      <w:tr w:rsidR="00F96605" w:rsidRPr="001501A4" w14:paraId="4575D9BC" w14:textId="77777777" w:rsidTr="005B6435">
        <w:trPr>
          <w:trHeight w:val="1234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4E7F" w14:textId="0288770B" w:rsidR="00F96605" w:rsidRPr="001501A4" w:rsidRDefault="00404A25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Leihgabe gegenüber der Einrichtung des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 verschleiern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2B17" w14:textId="164F5A5A" w:rsidR="00F96605" w:rsidRPr="001501A4" w:rsidRDefault="00A448EE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 xml:space="preserve">Direkt oder indirekt Geschenke oder andere Vorteile anbieten, um </w:t>
            </w:r>
            <w:proofErr w:type="spellStart"/>
            <w:r w:rsidRPr="001501A4">
              <w:rPr>
                <w:rFonts w:ascii="Verdana" w:hAnsi="Verdana"/>
                <w:sz w:val="18"/>
                <w:lang w:val="de-DE"/>
              </w:rPr>
              <w:t>Angehoerige</w:t>
            </w:r>
            <w:proofErr w:type="spellEnd"/>
            <w:r w:rsidRPr="001501A4">
              <w:rPr>
                <w:rFonts w:ascii="Verdana" w:hAnsi="Verdana"/>
                <w:sz w:val="18"/>
                <w:lang w:val="de-DE"/>
              </w:rPr>
              <w:t xml:space="preserve"> des Gesundheitswesens bei der öffentlichen Ausschreibung unlauter zu beeinflussen</w:t>
            </w:r>
          </w:p>
        </w:tc>
      </w:tr>
      <w:tr w:rsidR="00F96605" w:rsidRPr="001501A4" w14:paraId="02FAE456" w14:textId="77777777" w:rsidTr="008C735C">
        <w:trPr>
          <w:trHeight w:val="1085"/>
        </w:trPr>
        <w:tc>
          <w:tcPr>
            <w:tcW w:w="4338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ECF8" w14:textId="7D49DC2C" w:rsidR="00F96605" w:rsidRPr="001501A4" w:rsidRDefault="00AE25ED" w:rsidP="00F9660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BESPRECHUNGEN, BEWIRTUNG UND KONFERENZEN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C09C" w14:textId="15908E01" w:rsidR="00F96605" w:rsidRPr="001501A4" w:rsidRDefault="00CA13C9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Öffentliche Auftraggeber ermutigen, unzulässige Ausnahmen bei der öffentlichen Ausschreibung zu machen</w:t>
            </w:r>
          </w:p>
        </w:tc>
      </w:tr>
      <w:tr w:rsidR="008C735C" w:rsidRPr="001501A4" w14:paraId="4686D325" w14:textId="77777777" w:rsidTr="00FF7D9D">
        <w:trPr>
          <w:trHeight w:val="715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6B8A" w14:textId="65A48651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Zu Besprechungen an nicht angebrachten Orten einladen</w:t>
            </w:r>
          </w:p>
        </w:tc>
        <w:tc>
          <w:tcPr>
            <w:tcW w:w="4724" w:type="dxa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8518" w14:textId="77777777" w:rsidR="008C735C" w:rsidRPr="001501A4" w:rsidRDefault="008C735C" w:rsidP="00BA517A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7EBB5975" w14:textId="77777777" w:rsidTr="00FF7D9D">
        <w:trPr>
          <w:trHeight w:val="953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FBCC" w14:textId="696F2EE1" w:rsidR="008C735C" w:rsidRPr="001501A4" w:rsidRDefault="008C735C" w:rsidP="007F0C0E">
            <w:pPr>
              <w:spacing w:after="0" w:line="240" w:lineRule="auto"/>
              <w:rPr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 xml:space="preserve">Finanzielle </w:t>
            </w:r>
            <w:proofErr w:type="spellStart"/>
            <w:r w:rsidRPr="001501A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Unterstuetzung</w:t>
            </w:r>
            <w:proofErr w:type="spellEnd"/>
            <w:r w:rsidRPr="001501A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 xml:space="preserve"> von </w:t>
            </w:r>
            <w:proofErr w:type="spellStart"/>
            <w:r w:rsidRPr="001501A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 xml:space="preserve"> des Gesundheitswesens, um an von Dritten ausgerichteten Konferenzen teilzunehmen</w:t>
            </w:r>
          </w:p>
        </w:tc>
        <w:tc>
          <w:tcPr>
            <w:tcW w:w="4724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9447" w14:textId="77777777" w:rsidR="008C735C" w:rsidRPr="001501A4" w:rsidRDefault="008C735C" w:rsidP="0092080C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52B6FE14" w14:textId="77777777" w:rsidTr="00FF7D9D">
        <w:trPr>
          <w:trHeight w:val="966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CC78" w14:textId="69665FB4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Konferenzen ohne ersichtlichen wissenschaftlichen oder bildenden Inhalt unterstützen</w:t>
            </w:r>
          </w:p>
        </w:tc>
        <w:tc>
          <w:tcPr>
            <w:tcW w:w="4724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183F" w14:textId="77777777" w:rsidR="008C735C" w:rsidRPr="001501A4" w:rsidRDefault="008C735C" w:rsidP="0092080C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18B42CAA" w14:textId="77777777" w:rsidTr="00FF7D9D">
        <w:trPr>
          <w:trHeight w:val="546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3342" w14:textId="177260CC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lastRenderedPageBreak/>
              <w:t>HCPs aufwendig betreuen</w:t>
            </w:r>
          </w:p>
        </w:tc>
        <w:tc>
          <w:tcPr>
            <w:tcW w:w="4724" w:type="dxa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5DB1" w14:textId="77777777" w:rsidR="008C735C" w:rsidRPr="001501A4" w:rsidRDefault="008C735C" w:rsidP="00BA517A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4584E2D5" w14:textId="77777777" w:rsidTr="00FF7D9D">
        <w:trPr>
          <w:trHeight w:val="966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35AC" w14:textId="19F834E0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Eine Bewirtung anbieten, die hinsichtlich des Zwecks der Besprechung unverhältnismäßig und exzessiv erscheint</w:t>
            </w:r>
          </w:p>
        </w:tc>
        <w:tc>
          <w:tcPr>
            <w:tcW w:w="4724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DF00" w14:textId="77777777" w:rsidR="008C735C" w:rsidRPr="001501A4" w:rsidRDefault="008C735C" w:rsidP="00BA517A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1F5B9406" w14:textId="77777777" w:rsidTr="00FF7D9D">
        <w:trPr>
          <w:trHeight w:val="951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EB6F" w14:textId="621122C8" w:rsidR="008C735C" w:rsidRPr="001501A4" w:rsidRDefault="008C735C" w:rsidP="007F0C0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 xml:space="preserve">Einladung auf Begleitpersonen des </w:t>
            </w:r>
            <w:proofErr w:type="spellStart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 xml:space="preserve"> des Gesundheitswesens ausweiten (z. B. Ehepartner)</w:t>
            </w:r>
          </w:p>
        </w:tc>
        <w:tc>
          <w:tcPr>
            <w:tcW w:w="4724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C3EF" w14:textId="77777777" w:rsidR="008C735C" w:rsidRPr="001501A4" w:rsidRDefault="008C735C" w:rsidP="00BA517A">
            <w:pPr>
              <w:spacing w:after="0" w:line="240" w:lineRule="auto"/>
              <w:rPr>
                <w:lang w:val="de-DE"/>
              </w:rPr>
            </w:pPr>
          </w:p>
        </w:tc>
      </w:tr>
      <w:tr w:rsidR="008C735C" w:rsidRPr="001501A4" w14:paraId="6F6A5598" w14:textId="77777777" w:rsidTr="00FF7D9D">
        <w:trPr>
          <w:trHeight w:val="964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68BF" w14:textId="58D510E5" w:rsidR="008C735C" w:rsidRPr="001501A4" w:rsidRDefault="008C735C" w:rsidP="007F0C0E">
            <w:pPr>
              <w:spacing w:after="0" w:line="240" w:lineRule="auto"/>
              <w:rPr>
                <w:lang w:val="de-DE"/>
              </w:rPr>
            </w:pPr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 xml:space="preserve">Die Zuwendung gegenüber der Einrichtung des </w:t>
            </w:r>
            <w:proofErr w:type="spellStart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Angehoerigen</w:t>
            </w:r>
            <w:proofErr w:type="spellEnd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 xml:space="preserve"> des </w:t>
            </w:r>
            <w:proofErr w:type="gramStart"/>
            <w:r w:rsidRPr="001501A4">
              <w:rPr>
                <w:rFonts w:ascii="Verdana" w:hAnsi="Verdana"/>
                <w:color w:val="000000"/>
                <w:sz w:val="18"/>
                <w:lang w:val="de-DE"/>
              </w:rPr>
              <w:t>Gesundheitswesens  verschleiern</w:t>
            </w:r>
            <w:proofErr w:type="gramEnd"/>
          </w:p>
        </w:tc>
        <w:tc>
          <w:tcPr>
            <w:tcW w:w="4724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3491" w14:textId="77777777" w:rsidR="008C735C" w:rsidRPr="001501A4" w:rsidRDefault="008C735C" w:rsidP="00BA517A">
            <w:pPr>
              <w:spacing w:after="0" w:line="240" w:lineRule="auto"/>
              <w:rPr>
                <w:lang w:val="de-DE"/>
              </w:rPr>
            </w:pPr>
          </w:p>
        </w:tc>
      </w:tr>
      <w:tr w:rsidR="00290310" w:rsidRPr="001501A4" w14:paraId="354AB7B1" w14:textId="77777777" w:rsidTr="008C735C">
        <w:trPr>
          <w:trHeight w:val="405"/>
        </w:trPr>
        <w:tc>
          <w:tcPr>
            <w:tcW w:w="4338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ADE4" w14:textId="00F5F770" w:rsidR="00290310" w:rsidRPr="001501A4" w:rsidRDefault="004E08FB" w:rsidP="0092080C">
            <w:pPr>
              <w:spacing w:after="0" w:line="240" w:lineRule="auto"/>
              <w:jc w:val="center"/>
              <w:rPr>
                <w:color w:val="C00000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UNABHÄNGIGE DRITTE</w:t>
            </w:r>
          </w:p>
        </w:tc>
        <w:tc>
          <w:tcPr>
            <w:tcW w:w="4724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DF78" w14:textId="772239C8" w:rsidR="00290310" w:rsidRPr="001501A4" w:rsidRDefault="000C1DCC" w:rsidP="0092080C">
            <w:pPr>
              <w:spacing w:after="0" w:line="240" w:lineRule="auto"/>
              <w:jc w:val="center"/>
              <w:rPr>
                <w:color w:val="C00000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AUSBILDUNGSFÖRDERUNGEN</w:t>
            </w:r>
          </w:p>
        </w:tc>
      </w:tr>
      <w:tr w:rsidR="00290310" w:rsidRPr="001501A4" w14:paraId="4FF24529" w14:textId="77777777" w:rsidTr="005B6435">
        <w:trPr>
          <w:trHeight w:val="957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C484" w14:textId="306264A4" w:rsidR="00290310" w:rsidRPr="001501A4" w:rsidRDefault="008F7AC2" w:rsidP="00BA517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Keine sorgfältige Prüfung der vorgeschlagenen unabhängigen Dritten durchführen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ACCE" w14:textId="49BBA28C" w:rsidR="00290310" w:rsidRPr="001501A4" w:rsidRDefault="00B14788" w:rsidP="0092080C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Förderungen für einzelne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Angehoerige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des Gesundheitswesens gewähren</w:t>
            </w:r>
          </w:p>
        </w:tc>
      </w:tr>
      <w:tr w:rsidR="007F0C0E" w:rsidRPr="001501A4" w14:paraId="7B3B5796" w14:textId="77777777" w:rsidTr="005B6435">
        <w:trPr>
          <w:trHeight w:val="1327"/>
        </w:trPr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0612" w14:textId="448DFDEF" w:rsidR="007F0C0E" w:rsidRPr="001501A4" w:rsidRDefault="00B058F0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lang w:val="de-DE"/>
              </w:rPr>
              <w:t>Keine Überwachung und Schulung der unabhängigen Dritten durchführen</w:t>
            </w: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A1A6" w14:textId="1D74A808" w:rsidR="007F0C0E" w:rsidRPr="001501A4" w:rsidRDefault="00615814" w:rsidP="007F0C0E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Förderungen als direkte Dotierungen für Professoren, Vorsitzende von Abteilungen oder in ähnlichen Positionen oder anstelle von Abteilungsetats verwenden</w:t>
            </w:r>
          </w:p>
        </w:tc>
      </w:tr>
      <w:tr w:rsidR="008C735C" w:rsidRPr="001501A4" w14:paraId="44FFBEFE" w14:textId="77777777" w:rsidTr="00FF7D9D">
        <w:trPr>
          <w:trHeight w:val="1229"/>
        </w:trPr>
        <w:tc>
          <w:tcPr>
            <w:tcW w:w="4338" w:type="dxa"/>
            <w:vMerge w:val="restar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001E" w14:textId="77777777" w:rsidR="008C735C" w:rsidRPr="001501A4" w:rsidRDefault="008C735C" w:rsidP="0092080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44A8" w14:textId="17819C10" w:rsidR="008C735C" w:rsidRPr="001501A4" w:rsidRDefault="008C735C" w:rsidP="0092080C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Foerderungen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, die nicht auf medizinische Aus-/Fortbildung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beschraenkt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ist sowie ohne Kontrolle der Verwendung der Gelder durch den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Empfaenger</w:t>
            </w:r>
            <w:proofErr w:type="spellEnd"/>
          </w:p>
        </w:tc>
      </w:tr>
      <w:tr w:rsidR="008C735C" w:rsidRPr="001501A4" w14:paraId="285C551C" w14:textId="77777777" w:rsidTr="00FF7D9D">
        <w:trPr>
          <w:trHeight w:val="1192"/>
        </w:trPr>
        <w:tc>
          <w:tcPr>
            <w:tcW w:w="4338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E793" w14:textId="77777777" w:rsidR="008C735C" w:rsidRPr="001501A4" w:rsidRDefault="008C735C" w:rsidP="0092080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A8F3" w14:textId="624CC3DD" w:rsidR="008C735C" w:rsidRPr="001501A4" w:rsidRDefault="008C735C" w:rsidP="0092080C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Die Auswahl bestimmter Referenten oder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Angehoeriger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des Gesundheitswesens zur Teilnahme an von Dritten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durchgefuehrte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Konferenzen zu verlangen</w:t>
            </w:r>
          </w:p>
        </w:tc>
      </w:tr>
      <w:tr w:rsidR="008C735C" w:rsidRPr="001501A4" w14:paraId="6BF1C097" w14:textId="77777777" w:rsidTr="00FF7D9D">
        <w:trPr>
          <w:trHeight w:val="396"/>
        </w:trPr>
        <w:tc>
          <w:tcPr>
            <w:tcW w:w="4338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DD0C" w14:textId="77777777" w:rsidR="008C735C" w:rsidRPr="001501A4" w:rsidRDefault="008C735C" w:rsidP="0092080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4724" w:type="dxa"/>
            <w:shd w:val="clear" w:color="auto" w:fill="FFA7A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194F" w14:textId="77777777" w:rsidR="008C735C" w:rsidRPr="001501A4" w:rsidRDefault="008C735C" w:rsidP="0092080C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b/>
                <w:color w:val="C00000"/>
                <w:sz w:val="18"/>
                <w:szCs w:val="18"/>
                <w:lang w:val="de-DE"/>
              </w:rPr>
              <w:t>SPONSORING</w:t>
            </w:r>
          </w:p>
        </w:tc>
      </w:tr>
      <w:tr w:rsidR="008C735C" w:rsidRPr="001501A4" w14:paraId="434B39EA" w14:textId="77777777" w:rsidTr="00FF7D9D">
        <w:trPr>
          <w:trHeight w:val="1372"/>
        </w:trPr>
        <w:tc>
          <w:tcPr>
            <w:tcW w:w="4338" w:type="dxa"/>
            <w:vMerge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5957" w14:textId="77777777" w:rsidR="008C735C" w:rsidRPr="001501A4" w:rsidRDefault="008C735C" w:rsidP="0092080C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3B71" w14:textId="26BF3A0E" w:rsidR="008C735C" w:rsidRPr="001501A4" w:rsidRDefault="008C735C" w:rsidP="0092080C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Die Auswahl bestimmter Referenten oder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Angehoeriger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des Gesundheitswesens zur Teilnahme an von professionellen Konferenzorganisationen </w:t>
            </w:r>
            <w:proofErr w:type="spellStart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>durchgefuehrte</w:t>
            </w:r>
            <w:proofErr w:type="spellEnd"/>
            <w:r w:rsidRPr="001501A4">
              <w:rPr>
                <w:rFonts w:ascii="Verdana" w:hAnsi="Verdana"/>
                <w:sz w:val="18"/>
                <w:szCs w:val="18"/>
                <w:lang w:val="de-DE"/>
              </w:rPr>
              <w:t xml:space="preserve"> Konferenzen zu verlangen</w:t>
            </w:r>
          </w:p>
        </w:tc>
      </w:tr>
    </w:tbl>
    <w:p w14:paraId="2D92ABAC" w14:textId="77777777" w:rsidR="008B3F3D" w:rsidRPr="001501A4" w:rsidRDefault="008B3F3D">
      <w:pPr>
        <w:rPr>
          <w:lang w:val="de-DE"/>
        </w:rPr>
      </w:pPr>
    </w:p>
    <w:p w14:paraId="0E87358B" w14:textId="77777777" w:rsidR="00576AF9" w:rsidRPr="001501A4" w:rsidRDefault="00576AF9" w:rsidP="00870DCD">
      <w:pPr>
        <w:rPr>
          <w:lang w:val="de-DE"/>
        </w:rPr>
      </w:pPr>
    </w:p>
    <w:p w14:paraId="37F99402" w14:textId="04B22A1B" w:rsidR="00C220A8" w:rsidRPr="001501A4" w:rsidRDefault="00870DCD" w:rsidP="00870DCD">
      <w:pPr>
        <w:rPr>
          <w:lang w:val="de-DE"/>
        </w:rPr>
      </w:pPr>
      <w:r w:rsidRPr="001501A4">
        <w:rPr>
          <w:lang w:val="de-DE"/>
        </w:rPr>
        <w:t xml:space="preserve">Im Frage- und Antwortabschnitt befinden sich Interpretationshilfen.  Bei Bedenken oder Fragen können Sie sich jederzeit an das COCIR Code </w:t>
      </w:r>
      <w:proofErr w:type="spellStart"/>
      <w:r w:rsidRPr="001501A4">
        <w:rPr>
          <w:lang w:val="de-DE"/>
        </w:rPr>
        <w:t>of</w:t>
      </w:r>
      <w:proofErr w:type="spellEnd"/>
      <w:r w:rsidRPr="001501A4">
        <w:rPr>
          <w:lang w:val="de-DE"/>
        </w:rPr>
        <w:t xml:space="preserve"> Conduct Committee wenden.</w:t>
      </w:r>
    </w:p>
    <w:sectPr w:rsidR="00C220A8" w:rsidRPr="001501A4" w:rsidSect="00FE57BC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22705" w14:textId="77777777" w:rsidR="001F1CCC" w:rsidRDefault="001F1CCC">
      <w:pPr>
        <w:spacing w:after="0" w:line="240" w:lineRule="auto"/>
      </w:pPr>
      <w:r>
        <w:separator/>
      </w:r>
    </w:p>
  </w:endnote>
  <w:endnote w:type="continuationSeparator" w:id="0">
    <w:p w14:paraId="4835BA68" w14:textId="77777777" w:rsidR="001F1CCC" w:rsidRDefault="001F1CCC">
      <w:pPr>
        <w:spacing w:after="0" w:line="240" w:lineRule="auto"/>
      </w:pPr>
      <w:r>
        <w:continuationSeparator/>
      </w:r>
    </w:p>
  </w:endnote>
  <w:endnote w:type="continuationNotice" w:id="1">
    <w:p w14:paraId="4F4324A2" w14:textId="77777777" w:rsidR="001F1CCC" w:rsidRDefault="001F1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6A01" w14:textId="785E7A4F" w:rsidR="00B25EB0" w:rsidRPr="001501A4" w:rsidRDefault="00B25EB0" w:rsidP="00B76439">
    <w:pPr>
      <w:pStyle w:val="Pieddepage"/>
      <w:jc w:val="center"/>
      <w:rPr>
        <w:lang w:val="de-DE"/>
      </w:rPr>
    </w:pPr>
    <w:r w:rsidRPr="001501A4">
      <w:rPr>
        <w:rFonts w:ascii="Verdana" w:hAnsi="Verdana"/>
        <w:sz w:val="18"/>
        <w:szCs w:val="18"/>
        <w:lang w:val="de-DE"/>
      </w:rPr>
      <w:fldChar w:fldCharType="begin"/>
    </w:r>
    <w:r w:rsidRPr="001501A4">
      <w:rPr>
        <w:rFonts w:ascii="Verdana" w:hAnsi="Verdana"/>
        <w:sz w:val="18"/>
        <w:szCs w:val="18"/>
        <w:lang w:val="de-DE"/>
      </w:rPr>
      <w:instrText>PAGE   \* MERGEFORMAT</w:instrText>
    </w:r>
    <w:r w:rsidRPr="001501A4">
      <w:rPr>
        <w:rFonts w:ascii="Verdana" w:hAnsi="Verdana"/>
        <w:sz w:val="18"/>
        <w:szCs w:val="18"/>
        <w:lang w:val="de-DE"/>
      </w:rPr>
      <w:fldChar w:fldCharType="separate"/>
    </w:r>
    <w:r w:rsidR="000661F8" w:rsidRPr="001501A4">
      <w:rPr>
        <w:rFonts w:ascii="Verdana" w:hAnsi="Verdana"/>
        <w:noProof/>
        <w:sz w:val="18"/>
        <w:szCs w:val="18"/>
        <w:lang w:val="de-DE"/>
      </w:rPr>
      <w:t>2</w:t>
    </w:r>
    <w:r w:rsidRPr="001501A4">
      <w:rPr>
        <w:lang w:val="de-DE"/>
      </w:rPr>
      <w:fldChar w:fldCharType="end"/>
    </w:r>
    <w:r w:rsidRPr="001501A4">
      <w:rPr>
        <w:rFonts w:ascii="Verdana" w:hAnsi="Verdana"/>
        <w:sz w:val="18"/>
        <w:szCs w:val="18"/>
        <w:lang w:val="de-DE"/>
      </w:rPr>
      <w:t xml:space="preserve"> v</w:t>
    </w:r>
    <w:r w:rsidR="009568CD">
      <w:rPr>
        <w:rFonts w:ascii="Verdana" w:hAnsi="Verdana"/>
        <w:sz w:val="18"/>
        <w:szCs w:val="18"/>
        <w:lang w:val="de-DE"/>
      </w:rPr>
      <w:t>o</w:t>
    </w:r>
    <w:r w:rsidRPr="001501A4">
      <w:rPr>
        <w:rFonts w:ascii="Verdana" w:hAnsi="Verdana"/>
        <w:sz w:val="18"/>
        <w:szCs w:val="18"/>
        <w:lang w:val="de-DE"/>
      </w:rPr>
      <w:t xml:space="preserve">n </w:t>
    </w:r>
    <w:r w:rsidR="00104F4C" w:rsidRPr="001501A4">
      <w:rPr>
        <w:rFonts w:ascii="Verdana" w:hAnsi="Verdana"/>
        <w:noProof/>
        <w:sz w:val="18"/>
        <w:szCs w:val="18"/>
        <w:lang w:val="de-DE"/>
      </w:rPr>
      <w:fldChar w:fldCharType="begin"/>
    </w:r>
    <w:r w:rsidR="00104F4C" w:rsidRPr="001501A4">
      <w:rPr>
        <w:rFonts w:ascii="Verdana" w:hAnsi="Verdana"/>
        <w:noProof/>
        <w:sz w:val="18"/>
        <w:szCs w:val="18"/>
        <w:lang w:val="de-DE"/>
      </w:rPr>
      <w:instrText xml:space="preserve"> NUMPAGES   \* MERGEFORMAT </w:instrText>
    </w:r>
    <w:r w:rsidR="00104F4C" w:rsidRPr="001501A4">
      <w:rPr>
        <w:rFonts w:ascii="Verdana" w:hAnsi="Verdana"/>
        <w:noProof/>
        <w:sz w:val="18"/>
        <w:szCs w:val="18"/>
        <w:lang w:val="de-DE"/>
      </w:rPr>
      <w:fldChar w:fldCharType="separate"/>
    </w:r>
    <w:r w:rsidR="000661F8" w:rsidRPr="001501A4">
      <w:rPr>
        <w:rFonts w:ascii="Verdana" w:hAnsi="Verdana"/>
        <w:noProof/>
        <w:sz w:val="18"/>
        <w:szCs w:val="18"/>
        <w:lang w:val="de-DE"/>
      </w:rPr>
      <w:t>3</w:t>
    </w:r>
    <w:r w:rsidR="00104F4C" w:rsidRPr="001501A4">
      <w:rPr>
        <w:rFonts w:ascii="Verdana" w:hAnsi="Verdana"/>
        <w:noProof/>
        <w:sz w:val="18"/>
        <w:szCs w:val="18"/>
        <w:lang w:val="de-DE"/>
      </w:rPr>
      <w:fldChar w:fldCharType="end"/>
    </w:r>
    <w:r w:rsidRPr="001501A4">
      <w:rPr>
        <w:lang w:val="de-DE"/>
      </w:rPr>
      <w:t xml:space="preserve"> –</w:t>
    </w:r>
    <w:r w:rsidR="00EA6CA6" w:rsidRPr="001501A4">
      <w:rPr>
        <w:lang w:val="de-DE"/>
      </w:rPr>
      <w:t xml:space="preserve"> 15</w:t>
    </w:r>
    <w:r w:rsidRPr="001501A4">
      <w:rPr>
        <w:lang w:val="de-DE"/>
      </w:rPr>
      <w:t xml:space="preserve"> </w:t>
    </w:r>
    <w:r w:rsidR="00E7196C" w:rsidRPr="001501A4">
      <w:rPr>
        <w:lang w:val="de-DE"/>
      </w:rPr>
      <w:t xml:space="preserve">März </w:t>
    </w:r>
    <w:r w:rsidRPr="001501A4">
      <w:rPr>
        <w:lang w:val="de-DE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BC38" w14:textId="77777777" w:rsidR="001F1CCC" w:rsidRDefault="001F1CCC">
      <w:pPr>
        <w:spacing w:after="0" w:line="240" w:lineRule="auto"/>
      </w:pPr>
      <w:r>
        <w:separator/>
      </w:r>
    </w:p>
  </w:footnote>
  <w:footnote w:type="continuationSeparator" w:id="0">
    <w:p w14:paraId="79A69E69" w14:textId="77777777" w:rsidR="001F1CCC" w:rsidRDefault="001F1CCC">
      <w:pPr>
        <w:spacing w:after="0" w:line="240" w:lineRule="auto"/>
      </w:pPr>
      <w:r>
        <w:continuationSeparator/>
      </w:r>
    </w:p>
  </w:footnote>
  <w:footnote w:type="continuationNotice" w:id="1">
    <w:p w14:paraId="21ADF949" w14:textId="77777777" w:rsidR="001F1CCC" w:rsidRDefault="001F1CC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10"/>
    <w:rsid w:val="00001CF7"/>
    <w:rsid w:val="000027CA"/>
    <w:rsid w:val="00011517"/>
    <w:rsid w:val="00032B83"/>
    <w:rsid w:val="0003542B"/>
    <w:rsid w:val="0003562C"/>
    <w:rsid w:val="000359E8"/>
    <w:rsid w:val="00041CC7"/>
    <w:rsid w:val="00057596"/>
    <w:rsid w:val="000661F8"/>
    <w:rsid w:val="0006769E"/>
    <w:rsid w:val="000755D8"/>
    <w:rsid w:val="0007655A"/>
    <w:rsid w:val="0008082F"/>
    <w:rsid w:val="00082E0F"/>
    <w:rsid w:val="00086D3E"/>
    <w:rsid w:val="00093FF6"/>
    <w:rsid w:val="000C03FE"/>
    <w:rsid w:val="000C1DCC"/>
    <w:rsid w:val="000C60F2"/>
    <w:rsid w:val="000C6AC8"/>
    <w:rsid w:val="000D06DD"/>
    <w:rsid w:val="000D5C07"/>
    <w:rsid w:val="000F2550"/>
    <w:rsid w:val="00101CF4"/>
    <w:rsid w:val="00104F4C"/>
    <w:rsid w:val="001052BE"/>
    <w:rsid w:val="00111FE7"/>
    <w:rsid w:val="00115714"/>
    <w:rsid w:val="001230FE"/>
    <w:rsid w:val="00127B33"/>
    <w:rsid w:val="0013340D"/>
    <w:rsid w:val="001501A4"/>
    <w:rsid w:val="001575A6"/>
    <w:rsid w:val="001675B7"/>
    <w:rsid w:val="001701C4"/>
    <w:rsid w:val="00174431"/>
    <w:rsid w:val="00180153"/>
    <w:rsid w:val="0018201E"/>
    <w:rsid w:val="001838DD"/>
    <w:rsid w:val="001B6B08"/>
    <w:rsid w:val="001B6F27"/>
    <w:rsid w:val="001C6091"/>
    <w:rsid w:val="001D68D9"/>
    <w:rsid w:val="001F1CCC"/>
    <w:rsid w:val="001F3CE9"/>
    <w:rsid w:val="0020172F"/>
    <w:rsid w:val="00224AFD"/>
    <w:rsid w:val="00225AC3"/>
    <w:rsid w:val="00227CC7"/>
    <w:rsid w:val="00231235"/>
    <w:rsid w:val="00233811"/>
    <w:rsid w:val="0025296B"/>
    <w:rsid w:val="0026422F"/>
    <w:rsid w:val="00271A75"/>
    <w:rsid w:val="00290310"/>
    <w:rsid w:val="002C2F4E"/>
    <w:rsid w:val="002C3EFE"/>
    <w:rsid w:val="002D2336"/>
    <w:rsid w:val="002E0726"/>
    <w:rsid w:val="00312543"/>
    <w:rsid w:val="003266A4"/>
    <w:rsid w:val="003415D5"/>
    <w:rsid w:val="00352C52"/>
    <w:rsid w:val="003549C6"/>
    <w:rsid w:val="00390AD8"/>
    <w:rsid w:val="003932D0"/>
    <w:rsid w:val="00394678"/>
    <w:rsid w:val="003B1628"/>
    <w:rsid w:val="003D50DA"/>
    <w:rsid w:val="003F454B"/>
    <w:rsid w:val="004025F5"/>
    <w:rsid w:val="00404A25"/>
    <w:rsid w:val="004237AC"/>
    <w:rsid w:val="0042533C"/>
    <w:rsid w:val="004279A9"/>
    <w:rsid w:val="00431D88"/>
    <w:rsid w:val="0043275D"/>
    <w:rsid w:val="00441296"/>
    <w:rsid w:val="004547B0"/>
    <w:rsid w:val="00460F93"/>
    <w:rsid w:val="004618D5"/>
    <w:rsid w:val="00472C6B"/>
    <w:rsid w:val="004737A6"/>
    <w:rsid w:val="00480E73"/>
    <w:rsid w:val="00485815"/>
    <w:rsid w:val="00491191"/>
    <w:rsid w:val="004A083B"/>
    <w:rsid w:val="004A7424"/>
    <w:rsid w:val="004B5F1C"/>
    <w:rsid w:val="004C6D2A"/>
    <w:rsid w:val="004D546B"/>
    <w:rsid w:val="004E08FB"/>
    <w:rsid w:val="004F7BA5"/>
    <w:rsid w:val="005011AE"/>
    <w:rsid w:val="00503753"/>
    <w:rsid w:val="00510319"/>
    <w:rsid w:val="005618BA"/>
    <w:rsid w:val="00576AF9"/>
    <w:rsid w:val="0058532E"/>
    <w:rsid w:val="00594F6C"/>
    <w:rsid w:val="005A18B7"/>
    <w:rsid w:val="005A54DC"/>
    <w:rsid w:val="005B6435"/>
    <w:rsid w:val="005C18F2"/>
    <w:rsid w:val="005C799A"/>
    <w:rsid w:val="005D0243"/>
    <w:rsid w:val="005D1AA7"/>
    <w:rsid w:val="005E14AD"/>
    <w:rsid w:val="005E1F63"/>
    <w:rsid w:val="005E6917"/>
    <w:rsid w:val="00604ADE"/>
    <w:rsid w:val="00605CC3"/>
    <w:rsid w:val="0061277C"/>
    <w:rsid w:val="00615814"/>
    <w:rsid w:val="00617245"/>
    <w:rsid w:val="00635A64"/>
    <w:rsid w:val="006427FE"/>
    <w:rsid w:val="00666780"/>
    <w:rsid w:val="006713C7"/>
    <w:rsid w:val="00685CAA"/>
    <w:rsid w:val="0068649F"/>
    <w:rsid w:val="006B3190"/>
    <w:rsid w:val="006B6C89"/>
    <w:rsid w:val="006B6DCB"/>
    <w:rsid w:val="006C1A21"/>
    <w:rsid w:val="006D43E5"/>
    <w:rsid w:val="00702D29"/>
    <w:rsid w:val="007072BD"/>
    <w:rsid w:val="00707D85"/>
    <w:rsid w:val="00721857"/>
    <w:rsid w:val="00723038"/>
    <w:rsid w:val="00740B47"/>
    <w:rsid w:val="0075135B"/>
    <w:rsid w:val="00754C4A"/>
    <w:rsid w:val="00757568"/>
    <w:rsid w:val="007765E2"/>
    <w:rsid w:val="00777FEB"/>
    <w:rsid w:val="007B405A"/>
    <w:rsid w:val="007B5AAD"/>
    <w:rsid w:val="007D03D0"/>
    <w:rsid w:val="007F0C0E"/>
    <w:rsid w:val="007F76CB"/>
    <w:rsid w:val="00816C64"/>
    <w:rsid w:val="00822F81"/>
    <w:rsid w:val="0082712B"/>
    <w:rsid w:val="00834FE8"/>
    <w:rsid w:val="008357A3"/>
    <w:rsid w:val="00835F59"/>
    <w:rsid w:val="008446BA"/>
    <w:rsid w:val="008448A2"/>
    <w:rsid w:val="0085109C"/>
    <w:rsid w:val="008626BF"/>
    <w:rsid w:val="0086393D"/>
    <w:rsid w:val="00863C88"/>
    <w:rsid w:val="00870DCD"/>
    <w:rsid w:val="00877E22"/>
    <w:rsid w:val="00883FCA"/>
    <w:rsid w:val="00895FE7"/>
    <w:rsid w:val="00897C70"/>
    <w:rsid w:val="008B3F3D"/>
    <w:rsid w:val="008B63EE"/>
    <w:rsid w:val="008C1985"/>
    <w:rsid w:val="008C658D"/>
    <w:rsid w:val="008C735C"/>
    <w:rsid w:val="008F76B3"/>
    <w:rsid w:val="008F7AC2"/>
    <w:rsid w:val="009029B3"/>
    <w:rsid w:val="0091462B"/>
    <w:rsid w:val="0091692E"/>
    <w:rsid w:val="0092080C"/>
    <w:rsid w:val="00920FA9"/>
    <w:rsid w:val="00922112"/>
    <w:rsid w:val="0093464C"/>
    <w:rsid w:val="00947D10"/>
    <w:rsid w:val="009568CD"/>
    <w:rsid w:val="00963E82"/>
    <w:rsid w:val="00966798"/>
    <w:rsid w:val="00976CA0"/>
    <w:rsid w:val="009B1C90"/>
    <w:rsid w:val="009B5A1B"/>
    <w:rsid w:val="009C000A"/>
    <w:rsid w:val="009C06A9"/>
    <w:rsid w:val="00A0064B"/>
    <w:rsid w:val="00A05951"/>
    <w:rsid w:val="00A134CD"/>
    <w:rsid w:val="00A150FF"/>
    <w:rsid w:val="00A23DAF"/>
    <w:rsid w:val="00A340E9"/>
    <w:rsid w:val="00A448EE"/>
    <w:rsid w:val="00A533B9"/>
    <w:rsid w:val="00A5562D"/>
    <w:rsid w:val="00A83196"/>
    <w:rsid w:val="00A874A4"/>
    <w:rsid w:val="00A92BF6"/>
    <w:rsid w:val="00AB0158"/>
    <w:rsid w:val="00AD4E04"/>
    <w:rsid w:val="00AE25ED"/>
    <w:rsid w:val="00AE674F"/>
    <w:rsid w:val="00AF2E2A"/>
    <w:rsid w:val="00B041F3"/>
    <w:rsid w:val="00B058F0"/>
    <w:rsid w:val="00B068D8"/>
    <w:rsid w:val="00B14788"/>
    <w:rsid w:val="00B25EB0"/>
    <w:rsid w:val="00B5046C"/>
    <w:rsid w:val="00B5397D"/>
    <w:rsid w:val="00B6681B"/>
    <w:rsid w:val="00B7359A"/>
    <w:rsid w:val="00B74DFC"/>
    <w:rsid w:val="00B76439"/>
    <w:rsid w:val="00B91462"/>
    <w:rsid w:val="00BA5074"/>
    <w:rsid w:val="00BA517A"/>
    <w:rsid w:val="00BA5B03"/>
    <w:rsid w:val="00BE15E7"/>
    <w:rsid w:val="00BE2159"/>
    <w:rsid w:val="00BE692A"/>
    <w:rsid w:val="00BF1640"/>
    <w:rsid w:val="00C14D0A"/>
    <w:rsid w:val="00C220A8"/>
    <w:rsid w:val="00C26F21"/>
    <w:rsid w:val="00C526AE"/>
    <w:rsid w:val="00C57653"/>
    <w:rsid w:val="00C738DF"/>
    <w:rsid w:val="00C864E4"/>
    <w:rsid w:val="00C914F7"/>
    <w:rsid w:val="00CA13C9"/>
    <w:rsid w:val="00CB1361"/>
    <w:rsid w:val="00CB30F7"/>
    <w:rsid w:val="00CB6254"/>
    <w:rsid w:val="00CB6891"/>
    <w:rsid w:val="00CB6BE1"/>
    <w:rsid w:val="00CC1498"/>
    <w:rsid w:val="00CC19F7"/>
    <w:rsid w:val="00CD614B"/>
    <w:rsid w:val="00CE75E2"/>
    <w:rsid w:val="00D240FC"/>
    <w:rsid w:val="00D26B3E"/>
    <w:rsid w:val="00D30CB2"/>
    <w:rsid w:val="00D50D19"/>
    <w:rsid w:val="00D61046"/>
    <w:rsid w:val="00D7036F"/>
    <w:rsid w:val="00D70A42"/>
    <w:rsid w:val="00D76148"/>
    <w:rsid w:val="00D85E9D"/>
    <w:rsid w:val="00D90F1F"/>
    <w:rsid w:val="00D920B8"/>
    <w:rsid w:val="00D964B6"/>
    <w:rsid w:val="00DA219C"/>
    <w:rsid w:val="00DC0E51"/>
    <w:rsid w:val="00DD4991"/>
    <w:rsid w:val="00DF0F02"/>
    <w:rsid w:val="00E01422"/>
    <w:rsid w:val="00E05D2C"/>
    <w:rsid w:val="00E23970"/>
    <w:rsid w:val="00E24410"/>
    <w:rsid w:val="00E26A4B"/>
    <w:rsid w:val="00E36C84"/>
    <w:rsid w:val="00E7196C"/>
    <w:rsid w:val="00E81D3B"/>
    <w:rsid w:val="00E901F7"/>
    <w:rsid w:val="00E97BAB"/>
    <w:rsid w:val="00EA6CA6"/>
    <w:rsid w:val="00EB3CA7"/>
    <w:rsid w:val="00EE66AE"/>
    <w:rsid w:val="00EF22A4"/>
    <w:rsid w:val="00EF7BC3"/>
    <w:rsid w:val="00F10167"/>
    <w:rsid w:val="00F132B6"/>
    <w:rsid w:val="00F22FB8"/>
    <w:rsid w:val="00F57D93"/>
    <w:rsid w:val="00F70F59"/>
    <w:rsid w:val="00F71FE3"/>
    <w:rsid w:val="00F96605"/>
    <w:rsid w:val="00FB27AC"/>
    <w:rsid w:val="00FB3A3E"/>
    <w:rsid w:val="00FB5C1B"/>
    <w:rsid w:val="00FC6014"/>
    <w:rsid w:val="00FC7E8F"/>
    <w:rsid w:val="00FD2452"/>
    <w:rsid w:val="00FD37AC"/>
    <w:rsid w:val="00FD3FB0"/>
    <w:rsid w:val="00FD4C6B"/>
    <w:rsid w:val="00FD5FF9"/>
    <w:rsid w:val="00FE1081"/>
    <w:rsid w:val="00FE57BC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8C72A"/>
  <w15:docId w15:val="{B905855D-7486-4569-98AD-CF1B008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nl-NL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E57BC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9C06A9"/>
    <w:pPr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Verdana" w:hAnsi="Verdana"/>
      <w:b/>
      <w:caps/>
      <w:color w:val="00B05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EB0"/>
  </w:style>
  <w:style w:type="paragraph" w:styleId="Pieddepage">
    <w:name w:val="footer"/>
    <w:basedOn w:val="Normal"/>
    <w:link w:val="PieddepageCar"/>
    <w:uiPriority w:val="99"/>
    <w:unhideWhenUsed/>
    <w:rsid w:val="00B25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EB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0F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C06A9"/>
    <w:rPr>
      <w:rFonts w:ascii="Verdana" w:hAnsi="Verdana"/>
      <w:b/>
      <w:caps/>
      <w:color w:val="00B050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BA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BA517A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1591a-b1b3-4f13-b72b-704c6f667452">
      <Terms xmlns="http://schemas.microsoft.com/office/infopath/2007/PartnerControls"/>
    </lcf76f155ced4ddcb4097134ff3c332f>
    <TaxCatchAll xmlns="1d7e989e-d6b5-4b59-a8d8-6a78906f5c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8C07DE7060F4696C871E28BC0B696" ma:contentTypeVersion="12" ma:contentTypeDescription="Create a new document." ma:contentTypeScope="" ma:versionID="f1b5895bf5eae3badb81847dfe7be0e2">
  <xsd:schema xmlns:xsd="http://www.w3.org/2001/XMLSchema" xmlns:xs="http://www.w3.org/2001/XMLSchema" xmlns:p="http://schemas.microsoft.com/office/2006/metadata/properties" xmlns:ns2="5b41591a-b1b3-4f13-b72b-704c6f667452" xmlns:ns3="1d7e989e-d6b5-4b59-a8d8-6a78906f5c59" targetNamespace="http://schemas.microsoft.com/office/2006/metadata/properties" ma:root="true" ma:fieldsID="753c8ee931985d68397c1c0655664ad1" ns2:_="" ns3:_="">
    <xsd:import namespace="5b41591a-b1b3-4f13-b72b-704c6f667452"/>
    <xsd:import namespace="1d7e989e-d6b5-4b59-a8d8-6a78906f5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1a-b1b3-4f13-b72b-704c6f66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a7b25a-d632-488b-8ecb-e20f2a150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e989e-d6b5-4b59-a8d8-6a78906f5c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305c4-8f22-48e4-9957-c142571570f8}" ma:internalName="TaxCatchAll" ma:showField="CatchAllData" ma:web="1d7e989e-d6b5-4b59-a8d8-6a78906f5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E7F1-E292-4B5B-B85A-7F9AEE5F8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48587-FA82-4213-A3D9-6B33866A0A33}">
  <ds:schemaRefs>
    <ds:schemaRef ds:uri="http://purl.org/dc/elements/1.1/"/>
    <ds:schemaRef ds:uri="http://schemas.microsoft.com/office/2006/metadata/properties"/>
    <ds:schemaRef ds:uri="99c2f25a-79c9-4c58-b8e8-ff65bc81bda4"/>
    <ds:schemaRef ds:uri="http://purl.org/dc/terms/"/>
    <ds:schemaRef ds:uri="f1d8a9e5-d054-4906-9ed0-687cf7b9c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55728A-A004-43FA-A096-816E3EA9F791}"/>
</file>

<file path=customXml/itemProps4.xml><?xml version="1.0" encoding="utf-8"?>
<ds:datastoreItem xmlns:ds="http://schemas.openxmlformats.org/officeDocument/2006/customXml" ds:itemID="{B7ACCCDE-D12D-4946-B597-10B89CBA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6776</Characters>
  <Application>Microsoft Office Word</Application>
  <DocSecurity>4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Cazenave</dc:creator>
  <cp:lastModifiedBy>Magali Leroux</cp:lastModifiedBy>
  <cp:revision>2</cp:revision>
  <cp:lastPrinted>2018-10-16T08:43:00Z</cp:lastPrinted>
  <dcterms:created xsi:type="dcterms:W3CDTF">2018-11-06T10:38:00Z</dcterms:created>
  <dcterms:modified xsi:type="dcterms:W3CDTF">2018-11-06T10:38:00Z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0x0101004B28C07DE7060F4696C871E28BC0B696</vt:lpwstr>
  </property>
  <property fmtid="{D5CDD505-2E9C-101B-9397-08002B2CF9AE}" pid="3" name="Order">
    <vt:r8>1857000</vt:r8>
  </property>
</Properties>
</file>